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210E8" w:rsidRDefault="00D210E8" w:rsidP="00D210E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3618F" w:rsidRPr="0063618F" w:rsidRDefault="003742A6" w:rsidP="0063618F">
      <w:pPr>
        <w:pStyle w:val="TitoloGrandePaola"/>
        <w:rPr>
          <w:color w:val="B75C9E"/>
          <w:sz w:val="72"/>
          <w:szCs w:val="28"/>
        </w:rPr>
      </w:pPr>
      <w:bookmarkStart w:id="0" w:name="_Hlk17733370"/>
      <w:r>
        <w:rPr>
          <w:noProof/>
          <w:lang w:eastAsia="it-IT"/>
        </w:rP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546100</wp:posOffset>
            </wp:positionH>
            <wp:positionV relativeFrom="paragraph">
              <wp:posOffset>6350</wp:posOffset>
            </wp:positionV>
            <wp:extent cx="1173480" cy="1173480"/>
            <wp:effectExtent l="0" t="0" r="0" b="0"/>
            <wp:wrapSquare wrapText="bothSides"/>
            <wp:docPr id="9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868" t="9868" r="9868" b="9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618F" w:rsidRPr="00DB7841">
        <w:rPr>
          <w:rFonts w:ascii="Oswald Regular" w:eastAsia="Arial" w:hAnsi="Oswald Regular" w:cs="Arial"/>
          <w:color w:val="auto"/>
          <w:sz w:val="56"/>
          <w:szCs w:val="96"/>
          <w:lang w:eastAsia="it-IT"/>
        </w:rPr>
        <w:t>GAL BMG</w:t>
      </w:r>
      <w:r w:rsidR="0063618F">
        <w:rPr>
          <w:rFonts w:ascii="Oswald Regular" w:eastAsia="Arial" w:hAnsi="Oswald Regular" w:cs="Arial"/>
          <w:color w:val="B75C9E"/>
          <w:sz w:val="40"/>
          <w:szCs w:val="48"/>
        </w:rPr>
        <w:br/>
      </w:r>
      <w:r w:rsidR="0063618F" w:rsidRPr="001A5823">
        <w:rPr>
          <w:rFonts w:ascii="Oswald Regular" w:eastAsia="Arial" w:hAnsi="Oswald Regular" w:cs="Arial"/>
          <w:color w:val="B75C9E"/>
          <w:sz w:val="28"/>
          <w:szCs w:val="36"/>
        </w:rPr>
        <w:t>BARBAGIA_MANDROLISAI_GENNARGENTU</w:t>
      </w:r>
    </w:p>
    <w:p w:rsidR="0063618F" w:rsidRDefault="0063618F" w:rsidP="0063618F"/>
    <w:p w:rsidR="0063618F" w:rsidRDefault="0063618F" w:rsidP="0063618F"/>
    <w:p w:rsidR="0063618F" w:rsidRPr="00B566D8" w:rsidRDefault="0063618F" w:rsidP="0063618F">
      <w:pPr>
        <w:pStyle w:val="TitoloGrandePaola"/>
        <w:rPr>
          <w:color w:val="B75C9E"/>
          <w:sz w:val="72"/>
          <w:szCs w:val="28"/>
        </w:rPr>
      </w:pPr>
      <w:r w:rsidRPr="0063618F">
        <w:rPr>
          <w:color w:val="B75C9E"/>
          <w:sz w:val="72"/>
          <w:szCs w:val="28"/>
        </w:rPr>
        <w:t>PROGRAMMA</w:t>
      </w:r>
      <w:r w:rsidRPr="00B566D8">
        <w:rPr>
          <w:color w:val="B75C9E"/>
          <w:sz w:val="72"/>
          <w:szCs w:val="28"/>
        </w:rPr>
        <w:t xml:space="preserve"> DI</w:t>
      </w:r>
      <w:r>
        <w:rPr>
          <w:color w:val="B75C9E"/>
          <w:sz w:val="72"/>
          <w:szCs w:val="28"/>
        </w:rPr>
        <w:t xml:space="preserve"> </w:t>
      </w:r>
      <w:r w:rsidRPr="00B566D8">
        <w:rPr>
          <w:color w:val="B75C9E"/>
          <w:sz w:val="72"/>
          <w:szCs w:val="28"/>
        </w:rPr>
        <w:t>SVILUPPO RURALE SARDEGNA 2014-2020</w:t>
      </w:r>
    </w:p>
    <w:p w:rsidR="0063618F" w:rsidRPr="00B566D8" w:rsidRDefault="0063618F" w:rsidP="0063618F">
      <w:pPr>
        <w:pStyle w:val="Titolo1GAL"/>
        <w:spacing w:before="240"/>
        <w:rPr>
          <w:sz w:val="44"/>
          <w:szCs w:val="28"/>
        </w:rPr>
      </w:pPr>
      <w:r w:rsidRPr="00B566D8">
        <w:rPr>
          <w:sz w:val="44"/>
          <w:szCs w:val="28"/>
        </w:rPr>
        <w:t>MISURA 19 Sostegno allo sviluppo locale LEADER-CLLD</w:t>
      </w:r>
    </w:p>
    <w:p w:rsidR="0063618F" w:rsidRPr="0063618F" w:rsidRDefault="0063618F" w:rsidP="0063618F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6"/>
          <w:szCs w:val="26"/>
        </w:rPr>
      </w:pPr>
      <w:r w:rsidRPr="00B566D8">
        <w:rPr>
          <w:rStyle w:val="GrassettoGAL"/>
          <w:iCs/>
          <w:sz w:val="26"/>
          <w:szCs w:val="26"/>
        </w:rPr>
        <w:t xml:space="preserve">SOTTOMISURA 19.2 </w:t>
      </w:r>
      <w:r w:rsidRPr="0063618F">
        <w:rPr>
          <w:rFonts w:ascii="Lato Light" w:eastAsia="Times New Roman" w:hAnsi="Lato Light" w:cs="Times New Roman"/>
          <w:color w:val="7F7F7F"/>
          <w:sz w:val="26"/>
          <w:szCs w:val="26"/>
        </w:rPr>
        <w:t>Sostegno all'esecuzione degli interventi nell'ambito della strategia di sviluppo locale di tipo partecipativo</w:t>
      </w:r>
    </w:p>
    <w:p w:rsidR="0063618F" w:rsidRPr="0063618F" w:rsidRDefault="0063618F" w:rsidP="0063618F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6"/>
          <w:szCs w:val="26"/>
        </w:rPr>
      </w:pPr>
      <w:r w:rsidRPr="00B566D8">
        <w:rPr>
          <w:rStyle w:val="GrassettoGAL"/>
          <w:iCs/>
          <w:sz w:val="26"/>
          <w:szCs w:val="26"/>
        </w:rPr>
        <w:t xml:space="preserve">INTERVENTO 19.2.1.7.5.1.2 </w:t>
      </w:r>
      <w:r w:rsidRPr="0063618F">
        <w:rPr>
          <w:rFonts w:ascii="Lato Light" w:eastAsia="Times New Roman" w:hAnsi="Lato Light" w:cs="Times New Roman"/>
          <w:color w:val="7F7F7F"/>
          <w:sz w:val="26"/>
          <w:szCs w:val="26"/>
        </w:rPr>
        <w:t>“Integrazione e potenziamento della rete degli itinerari turistici tematici del GAL Nuorese Baronia”</w:t>
      </w:r>
    </w:p>
    <w:p w:rsidR="0063618F" w:rsidRPr="0063618F" w:rsidRDefault="0063618F" w:rsidP="0063618F">
      <w:pPr>
        <w:autoSpaceDE w:val="0"/>
        <w:spacing w:before="120" w:after="120" w:line="276" w:lineRule="auto"/>
        <w:rPr>
          <w:rFonts w:ascii="Lato Light" w:eastAsia="Times New Roman" w:hAnsi="Lato Light" w:cs="Times New Roman"/>
          <w:color w:val="7F7F7F"/>
          <w:sz w:val="28"/>
        </w:rPr>
      </w:pPr>
      <w:r w:rsidRPr="0063618F">
        <w:rPr>
          <w:rFonts w:ascii="Lato Light" w:eastAsia="Times New Roman" w:hAnsi="Lato Light" w:cs="Times New Roman"/>
          <w:color w:val="7F7F7F"/>
          <w:sz w:val="28"/>
        </w:rPr>
        <w:t>Codice Univoco Bando 23882</w:t>
      </w:r>
      <w:bookmarkStart w:id="1" w:name="_Hlk17733344"/>
      <w:bookmarkEnd w:id="0"/>
    </w:p>
    <w:p w:rsidR="0063618F" w:rsidRPr="00DB7841" w:rsidRDefault="0063618F" w:rsidP="0063618F">
      <w:pPr>
        <w:autoSpaceDE w:val="0"/>
        <w:spacing w:before="120" w:after="120" w:line="276" w:lineRule="auto"/>
      </w:pPr>
    </w:p>
    <w:p w:rsidR="0063618F" w:rsidRPr="0063618F" w:rsidRDefault="0063618F" w:rsidP="0063618F">
      <w:pPr>
        <w:pStyle w:val="Titolo2GAL"/>
        <w:shd w:val="clear" w:color="auto" w:fill="B75C9E"/>
        <w:spacing w:before="480"/>
        <w:rPr>
          <w:rFonts w:ascii="Lato Heavy" w:hAnsi="Lato Heavy"/>
          <w:color w:val="FFFFFF"/>
          <w:sz w:val="56"/>
          <w:szCs w:val="24"/>
        </w:rPr>
      </w:pPr>
      <w:r w:rsidRPr="0063618F">
        <w:rPr>
          <w:rFonts w:ascii="Lato Heavy" w:hAnsi="Lato Heavy"/>
          <w:color w:val="FFFFFF"/>
          <w:sz w:val="56"/>
          <w:szCs w:val="24"/>
        </w:rPr>
        <w:t xml:space="preserve"> CHECK LIST AGEA DOMANDA DI PAGAMENTO</w:t>
      </w:r>
    </w:p>
    <w:bookmarkEnd w:id="1"/>
    <w:p w:rsidR="0063618F" w:rsidRDefault="0063618F" w:rsidP="0063618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3618F" w:rsidRDefault="0063618F" w:rsidP="0063618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3618F" w:rsidRDefault="0063618F" w:rsidP="0063618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3618F" w:rsidRDefault="0063618F" w:rsidP="0063618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3618F" w:rsidRDefault="0063618F" w:rsidP="0063618F">
      <w:pPr>
        <w:spacing w:line="0" w:lineRule="atLeast"/>
        <w:ind w:right="-581"/>
        <w:jc w:val="center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color w:val="FFFFFF"/>
          <w:sz w:val="24"/>
        </w:rPr>
        <w:t xml:space="preserve"> “Infra</w:t>
      </w:r>
    </w:p>
    <w:p w:rsidR="0063618F" w:rsidRDefault="0063618F" w:rsidP="0063618F">
      <w:pPr>
        <w:spacing w:line="20" w:lineRule="exact"/>
        <w:rPr>
          <w:rFonts w:ascii="Times New Roman" w:eastAsia="Times New Roman" w:hAnsi="Times New Roman"/>
          <w:sz w:val="24"/>
        </w:rPr>
        <w:sectPr w:rsidR="0063618F">
          <w:headerReference w:type="default" r:id="rId8"/>
          <w:pgSz w:w="16840" w:h="11906" w:orient="landscape"/>
          <w:pgMar w:top="1440" w:right="1440" w:bottom="1116" w:left="860" w:header="0" w:footer="0" w:gutter="0"/>
          <w:cols w:space="0" w:equalWidth="0">
            <w:col w:w="14538"/>
          </w:cols>
          <w:docGrid w:linePitch="360"/>
        </w:sectPr>
      </w:pPr>
    </w:p>
    <w:p w:rsidR="000B0ACB" w:rsidRDefault="000B0ACB">
      <w:pPr>
        <w:spacing w:line="327" w:lineRule="exact"/>
        <w:rPr>
          <w:rFonts w:ascii="Times New Roman" w:eastAsia="Times New Roman" w:hAnsi="Times New Roman"/>
        </w:rPr>
      </w:pPr>
    </w:p>
    <w:p w:rsidR="0063618F" w:rsidRPr="00797608" w:rsidRDefault="0063618F" w:rsidP="0063618F">
      <w:pPr>
        <w:pStyle w:val="Titolo2GAL"/>
        <w:spacing w:before="100"/>
        <w:rPr>
          <w:rFonts w:ascii="Lato Bold" w:eastAsia="Arial" w:hAnsi="Lato Bold"/>
        </w:rPr>
      </w:pPr>
      <w:bookmarkStart w:id="2" w:name="_Hlk18162777"/>
      <w:r w:rsidRPr="00797608">
        <w:rPr>
          <w:rFonts w:ascii="Lato Bold" w:eastAsia="Arial" w:hAnsi="Lato Bold"/>
          <w:u w:val="single"/>
        </w:rPr>
        <w:t xml:space="preserve">CHECK LIST AUTOVALUTAZIONE </w:t>
      </w:r>
      <w:r w:rsidRPr="00797608">
        <w:rPr>
          <w:rFonts w:ascii="Lato Bold" w:eastAsia="Arial" w:hAnsi="Lato Bold"/>
        </w:rPr>
        <w:t>PER LE PROCEDURE DI GARA PER APPALTI PUBBLICI DI LAVORI, SERVIZI E FORNITURE</w:t>
      </w:r>
    </w:p>
    <w:bookmarkEnd w:id="2"/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345A8A"/>
          <w:sz w:val="32"/>
        </w:rPr>
        <w:drawing>
          <wp:anchor distT="0" distB="0" distL="114300" distR="114300" simplePos="0" relativeHeight="251613184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-199390</wp:posOffset>
            </wp:positionV>
            <wp:extent cx="9155430" cy="5569585"/>
            <wp:effectExtent l="19050" t="0" r="7620" b="0"/>
            <wp:wrapNone/>
            <wp:docPr id="9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5430" cy="556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9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0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D.Lgs. 18 aprile 2016, n. 50 e s.m.i. - Codice dei contratti pubblici (attuazione delle direttive 2014/23/UE, 2014/24/UE e 2014/25/UE)</w:t>
      </w:r>
    </w:p>
    <w:p w:rsidR="000B0ACB" w:rsidRDefault="000B0ACB">
      <w:pPr>
        <w:spacing w:line="19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6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A - DATI IDENTIFICATIVI</w:t>
      </w:r>
    </w:p>
    <w:p w:rsidR="000B0ACB" w:rsidRDefault="000B0ACB">
      <w:pPr>
        <w:spacing w:line="12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Bando domanda di</w:t>
      </w: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sostegno</w:t>
      </w:r>
    </w:p>
    <w:p w:rsidR="000B0ACB" w:rsidRDefault="000B0ACB">
      <w:pPr>
        <w:spacing w:line="19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Misura/Sottomisura</w:t>
      </w:r>
    </w:p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60"/>
        <w:gridCol w:w="11300"/>
      </w:tblGrid>
      <w:tr w:rsidR="000B0ACB">
        <w:trPr>
          <w:trHeight w:val="207"/>
        </w:trPr>
        <w:tc>
          <w:tcPr>
            <w:tcW w:w="3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Beneficiario/Stazione appaltante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Via _________________________, n. _________, ____________________ (città)</w:t>
            </w:r>
          </w:p>
        </w:tc>
      </w:tr>
      <w:tr w:rsidR="000B0ACB">
        <w:trPr>
          <w:trHeight w:val="125"/>
        </w:trPr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14"/>
        </w:trPr>
        <w:tc>
          <w:tcPr>
            <w:tcW w:w="3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Partita IVA/Codice fiscale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6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CUUA</w:t>
            </w:r>
          </w:p>
        </w:tc>
      </w:tr>
      <w:tr w:rsidR="000B0ACB">
        <w:trPr>
          <w:trHeight w:val="122"/>
        </w:trPr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14"/>
        </w:trPr>
        <w:tc>
          <w:tcPr>
            <w:tcW w:w="3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Referente beneficiario</w:t>
            </w:r>
          </w:p>
        </w:tc>
        <w:tc>
          <w:tcPr>
            <w:tcW w:w="1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Domanda di sostegno</w:t>
      </w:r>
    </w:p>
    <w:p w:rsidR="000B0ACB" w:rsidRDefault="000B0ACB">
      <w:pPr>
        <w:spacing w:line="251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3300"/>
          <w:tab w:val="left" w:pos="7680"/>
        </w:tabs>
        <w:spacing w:line="0" w:lineRule="atLeast"/>
        <w:ind w:left="24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18"/>
        </w:rPr>
        <w:t>Domanda di sostegno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n.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7"/>
        </w:rPr>
        <w:t>data</w:t>
      </w:r>
    </w:p>
    <w:p w:rsidR="000B0ACB" w:rsidRDefault="000B0ACB">
      <w:pPr>
        <w:spacing w:line="25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Titolo del progetto</w:t>
      </w:r>
    </w:p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Codice CUP</w:t>
      </w:r>
    </w:p>
    <w:p w:rsidR="000B0ACB" w:rsidRDefault="000B0ACB">
      <w:pPr>
        <w:spacing w:line="273" w:lineRule="exact"/>
        <w:rPr>
          <w:rFonts w:ascii="Times New Roman" w:eastAsia="Times New Roman" w:hAnsi="Times New Roman"/>
        </w:rPr>
      </w:pPr>
    </w:p>
    <w:tbl>
      <w:tblPr>
        <w:tblW w:w="0" w:type="auto"/>
        <w:tblInd w:w="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660"/>
        <w:gridCol w:w="3540"/>
      </w:tblGrid>
      <w:tr w:rsidR="000B0ACB">
        <w:trPr>
          <w:trHeight w:val="207"/>
        </w:trPr>
        <w:tc>
          <w:tcPr>
            <w:tcW w:w="2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Localizzazione investimento</w:t>
            </w:r>
          </w:p>
        </w:tc>
        <w:tc>
          <w:tcPr>
            <w:tcW w:w="35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0"/>
              <w:rPr>
                <w:rFonts w:ascii="Arial" w:eastAsia="Arial" w:hAnsi="Arial"/>
                <w:b/>
                <w:w w:val="97"/>
                <w:sz w:val="18"/>
              </w:rPr>
            </w:pPr>
            <w:r>
              <w:rPr>
                <w:rFonts w:ascii="Arial" w:eastAsia="Arial" w:hAnsi="Arial"/>
                <w:b/>
                <w:w w:val="97"/>
                <w:sz w:val="18"/>
              </w:rPr>
              <w:t>Comune di ______________________</w:t>
            </w:r>
          </w:p>
        </w:tc>
      </w:tr>
      <w:tr w:rsidR="000B0ACB">
        <w:trPr>
          <w:trHeight w:val="60"/>
        </w:trPr>
        <w:tc>
          <w:tcPr>
            <w:tcW w:w="2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spacing w:line="27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4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Atto di Concessione sostegno</w:t>
      </w:r>
    </w:p>
    <w:p w:rsidR="000B0ACB" w:rsidRDefault="000B0ACB">
      <w:pPr>
        <w:spacing w:line="251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240"/>
        <w:gridCol w:w="3400"/>
        <w:gridCol w:w="20"/>
        <w:gridCol w:w="2680"/>
        <w:gridCol w:w="5020"/>
      </w:tblGrid>
      <w:tr w:rsidR="000B0ACB">
        <w:trPr>
          <w:trHeight w:val="207"/>
        </w:trPr>
        <w:tc>
          <w:tcPr>
            <w:tcW w:w="3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Concessione sostegno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data</w:t>
            </w:r>
          </w:p>
        </w:tc>
        <w:tc>
          <w:tcPr>
            <w:tcW w:w="5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Prot. n.</w:t>
            </w:r>
          </w:p>
        </w:tc>
      </w:tr>
      <w:tr w:rsidR="000B0ACB">
        <w:trPr>
          <w:trHeight w:val="158"/>
        </w:trPr>
        <w:tc>
          <w:tcPr>
            <w:tcW w:w="3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0B0ACB">
        <w:trPr>
          <w:trHeight w:val="316"/>
        </w:trPr>
        <w:tc>
          <w:tcPr>
            <w:tcW w:w="3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Spesa ammessa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Sostegno concesso</w:t>
            </w:r>
          </w:p>
        </w:tc>
        <w:tc>
          <w:tcPr>
            <w:tcW w:w="5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</w:tr>
      <w:tr w:rsidR="000B0ACB">
        <w:trPr>
          <w:trHeight w:val="122"/>
        </w:trPr>
        <w:tc>
          <w:tcPr>
            <w:tcW w:w="3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14"/>
        </w:trPr>
        <w:tc>
          <w:tcPr>
            <w:tcW w:w="3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Tipologia investimento richiesto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Lavori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Forniture</w:t>
            </w:r>
          </w:p>
        </w:tc>
        <w:tc>
          <w:tcPr>
            <w:tcW w:w="5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</w:t>
            </w:r>
          </w:p>
        </w:tc>
      </w:tr>
      <w:tr w:rsidR="000B0ACB">
        <w:trPr>
          <w:trHeight w:val="122"/>
        </w:trPr>
        <w:tc>
          <w:tcPr>
            <w:tcW w:w="3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7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14"/>
        </w:trPr>
        <w:tc>
          <w:tcPr>
            <w:tcW w:w="3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Interventi spesa previsti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 affidamenti previsti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Verifica rispetto divieto frazionamento artificioso</w:t>
            </w:r>
          </w:p>
        </w:tc>
      </w:tr>
      <w:tr w:rsidR="000B0ACB">
        <w:trPr>
          <w:trHeight w:val="125"/>
        </w:trPr>
        <w:tc>
          <w:tcPr>
            <w:tcW w:w="3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0"/>
        </w:rPr>
        <w:sectPr w:rsidR="000B0ACB">
          <w:headerReference w:type="default" r:id="rId10"/>
          <w:pgSz w:w="16840" w:h="11906" w:orient="landscape"/>
          <w:pgMar w:top="702" w:right="1058" w:bottom="156" w:left="1420" w:header="0" w:footer="0" w:gutter="0"/>
          <w:cols w:space="0" w:equalWidth="0">
            <w:col w:w="14360"/>
          </w:cols>
          <w:docGrid w:linePitch="360"/>
        </w:sectPr>
      </w:pPr>
    </w:p>
    <w:p w:rsidR="000B0ACB" w:rsidRDefault="000B0ACB">
      <w:pPr>
        <w:spacing w:line="17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90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1</w:t>
      </w:r>
    </w:p>
    <w:p w:rsidR="000B0ACB" w:rsidRDefault="000B0ACB">
      <w:pPr>
        <w:spacing w:line="0" w:lineRule="atLeast"/>
        <w:ind w:left="1290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058" w:bottom="156" w:left="1420" w:header="0" w:footer="0" w:gutter="0"/>
          <w:cols w:space="0" w:equalWidth="0">
            <w:col w:w="14360"/>
          </w:cols>
          <w:docGrid w:linePitch="360"/>
        </w:sectPr>
      </w:pP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bookmarkStart w:id="5" w:name="page3"/>
      <w:bookmarkEnd w:id="5"/>
      <w:r>
        <w:rPr>
          <w:rFonts w:ascii="Arial" w:eastAsia="Arial" w:hAnsi="Arial"/>
          <w:b/>
          <w:noProof/>
        </w:rPr>
        <w:lastRenderedPageBreak/>
        <w:drawing>
          <wp:anchor distT="0" distB="0" distL="114300" distR="114300" simplePos="0" relativeHeight="25161420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388620</wp:posOffset>
            </wp:positionV>
            <wp:extent cx="9989185" cy="5779770"/>
            <wp:effectExtent l="19050" t="0" r="0" b="0"/>
            <wp:wrapNone/>
            <wp:docPr id="9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9185" cy="577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51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B – Checklist – PROCEDURA DI VERIFICA DELLA FASE DI PROGRAMMAZIONE</w:t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080"/>
        <w:gridCol w:w="5460"/>
        <w:gridCol w:w="2400"/>
        <w:gridCol w:w="1740"/>
      </w:tblGrid>
      <w:tr w:rsidR="000B0ACB">
        <w:trPr>
          <w:trHeight w:val="241"/>
        </w:trPr>
        <w:tc>
          <w:tcPr>
            <w:tcW w:w="60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8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  NP  Doc.</w:t>
            </w:r>
          </w:p>
        </w:tc>
        <w:tc>
          <w:tcPr>
            <w:tcW w:w="17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0B0ACB">
        <w:trPr>
          <w:trHeight w:val="230"/>
        </w:trPr>
        <w:tc>
          <w:tcPr>
            <w:tcW w:w="6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5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8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5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17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598" w:bottom="156" w:left="560" w:header="0" w:footer="0" w:gutter="0"/>
          <w:cols w:space="0" w:equalWidth="0">
            <w:col w:w="156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6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 – PRESUPPOSTI (da richiamare nel decreto o determina di indizione)</w:t>
      </w:r>
    </w:p>
    <w:p w:rsidR="000B0ACB" w:rsidRDefault="000B0ACB">
      <w:pPr>
        <w:spacing w:line="12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(non si applica ai soggetti aggregatori e centrali di committenza)</w:t>
      </w:r>
    </w:p>
    <w:p w:rsidR="000B0ACB" w:rsidRDefault="000B0ACB">
      <w:pPr>
        <w:spacing w:line="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(non si applica ai soggetti di cui all’art. 1, comma 2, lettere a), b), d), e) – art. 1 c. 3)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8"/>
        </w:rPr>
        <w:br w:type="column"/>
      </w:r>
    </w:p>
    <w:p w:rsidR="000B0ACB" w:rsidRDefault="000B0ACB">
      <w:pPr>
        <w:spacing w:line="20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Art. 21 (in attesa</w:t>
      </w:r>
    </w:p>
    <w:p w:rsidR="000B0ACB" w:rsidRDefault="000B0ACB">
      <w:pPr>
        <w:spacing w:line="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Decreto MIT - art.</w:t>
      </w:r>
    </w:p>
    <w:p w:rsidR="000B0ACB" w:rsidRDefault="000B0ACB">
      <w:pPr>
        <w:spacing w:line="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216 c. 3)</w:t>
      </w:r>
    </w:p>
    <w:p w:rsidR="000B0ACB" w:rsidRDefault="000B0ACB">
      <w:pPr>
        <w:spacing w:line="0" w:lineRule="atLeast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02" w:right="598" w:bottom="156" w:left="560" w:header="0" w:footer="0" w:gutter="0"/>
          <w:cols w:num="2" w:space="0" w:equalWidth="0">
            <w:col w:w="9200" w:space="720"/>
            <w:col w:w="5760"/>
          </w:cols>
          <w:docGrid w:linePitch="360"/>
        </w:sectPr>
      </w:pPr>
    </w:p>
    <w:p w:rsidR="000B0ACB" w:rsidRDefault="000B0ACB">
      <w:pPr>
        <w:spacing w:line="268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lavori</w:t>
      </w:r>
    </w:p>
    <w:p w:rsidR="000B0ACB" w:rsidRDefault="000B0ACB">
      <w:pPr>
        <w:spacing w:line="20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236" w:lineRule="auto"/>
        <w:ind w:left="860" w:right="518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dell’opera pubblica nel programma triennale dei lavori pubblici nonché nei relativi art. 21 aggiornamenti annuali il cui valore stimato sia pari o superiore a 100.000 euro</w:t>
      </w:r>
    </w:p>
    <w:p w:rsidR="000B0ACB" w:rsidRDefault="000B0ACB">
      <w:pPr>
        <w:spacing w:line="7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è stato attribuito il CUP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sono indicati i mezzi finanziari stanziati o disponibili</w:t>
      </w: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236" w:lineRule="auto"/>
        <w:ind w:left="860" w:right="590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A1.4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per i lavori di importo pari o superiore a 1.000.000 euro, è stato approvato il progetto di fattibilità tecnica ed economica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A1.5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ove previsto (art. 23 c. 5), è stato approvato il documento di fattibilità delle alternative progettuali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A1.6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trattasi di lavoro complesso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>A1.7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trattasi di intervento suscettibile di essere realizzato attraverso contratti di concessione o PPP</w:t>
      </w:r>
    </w:p>
    <w:p w:rsidR="000B0ACB" w:rsidRDefault="000B0ACB">
      <w:pPr>
        <w:spacing w:line="192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servizi e forniture</w:t>
      </w:r>
    </w:p>
    <w:p w:rsidR="000B0ACB" w:rsidRDefault="000B0ACB">
      <w:pPr>
        <w:spacing w:line="207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234" w:lineRule="auto"/>
        <w:ind w:left="860" w:right="590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A2.1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dell’acquisto nel programma biennale di forniture e servizi nonché nei relativi aggiornamenti annuali il cui valore stimato sia pari o superiore a 40.000 euro</w:t>
      </w:r>
    </w:p>
    <w:p w:rsidR="000B0ACB" w:rsidRDefault="000B0ACB">
      <w:pPr>
        <w:spacing w:line="14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40"/>
        </w:tabs>
        <w:spacing w:line="236" w:lineRule="auto"/>
        <w:ind w:left="860" w:right="5900" w:hanging="79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A2.2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per gli acquisti di importo pari o superiore a 1.000.000 euro, è stato comunicato il relativo elenco al Tavolo tecnico dei soggetti aggregatori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20"/>
        <w:gridCol w:w="904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80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Pubblicità dei programmi e aggiornamenti</w:t>
            </w:r>
          </w:p>
        </w:tc>
      </w:tr>
      <w:tr w:rsidR="000B0ACB">
        <w:trPr>
          <w:trHeight w:val="5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280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26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 sono stati pubblicati sul profilo del committente</w:t>
            </w: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 sono stati pubblicati sul sito del MIT</w:t>
            </w:r>
          </w:p>
        </w:tc>
      </w:tr>
      <w:tr w:rsidR="000B0ACB">
        <w:trPr>
          <w:trHeight w:val="29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 sono stati pubblicati sul sito dell’Osservatorio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24"/>
        </w:rPr>
        <w:sectPr w:rsidR="000B0ACB">
          <w:type w:val="continuous"/>
          <w:pgSz w:w="16840" w:h="11906" w:orient="landscape"/>
          <w:pgMar w:top="702" w:right="598" w:bottom="156" w:left="560" w:header="0" w:footer="0" w:gutter="0"/>
          <w:cols w:space="0" w:equalWidth="0">
            <w:col w:w="15680"/>
          </w:cols>
          <w:docGrid w:linePitch="360"/>
        </w:sectPr>
      </w:pPr>
    </w:p>
    <w:p w:rsidR="000B0ACB" w:rsidRDefault="000B0ACB">
      <w:pPr>
        <w:spacing w:line="28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2</w:t>
      </w: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598" w:bottom="156" w:left="560" w:header="0" w:footer="0" w:gutter="0"/>
          <w:cols w:space="0" w:equalWidth="0">
            <w:col w:w="15680"/>
          </w:cols>
          <w:docGrid w:linePitch="360"/>
        </w:sectPr>
      </w:pP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bookmarkStart w:id="6" w:name="page4"/>
      <w:bookmarkEnd w:id="6"/>
      <w:r>
        <w:rPr>
          <w:rFonts w:ascii="Arial" w:eastAsia="Arial" w:hAnsi="Arial"/>
          <w:b/>
          <w:noProof/>
        </w:rPr>
        <w:lastRenderedPageBreak/>
        <w:drawing>
          <wp:anchor distT="0" distB="0" distL="114300" distR="114300" simplePos="0" relativeHeight="25161523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388620</wp:posOffset>
            </wp:positionV>
            <wp:extent cx="9989185" cy="5741670"/>
            <wp:effectExtent l="19050" t="0" r="0" b="0"/>
            <wp:wrapNone/>
            <wp:docPr id="2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9185" cy="574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51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C – Checklist – PROCEDURA DI VERIFICA DELLA FASE DI PROGETTAZIONE</w:t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20"/>
        <w:gridCol w:w="904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060"/>
      </w:tblGrid>
      <w:tr w:rsidR="000B0ACB">
        <w:trPr>
          <w:trHeight w:val="241"/>
        </w:trPr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4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  NP  Doc.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7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335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9840" w:type="dxa"/>
            <w:gridSpan w:val="3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(da richiamare nel decreto o determina di indizione)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58"/>
        </w:trPr>
        <w:tc>
          <w:tcPr>
            <w:tcW w:w="9840" w:type="dxa"/>
            <w:gridSpan w:val="3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76"/>
        </w:trPr>
        <w:tc>
          <w:tcPr>
            <w:tcW w:w="98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Progettazione interna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74"/>
        </w:trPr>
        <w:tc>
          <w:tcPr>
            <w:tcW w:w="98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Progettazione esterna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Appalto lavori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0"/>
        </w:trPr>
        <w:tc>
          <w:tcPr>
            <w:tcW w:w="7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n.1/2016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Trattasi di lavori di particolare rilevanza sotto il profilo architettonico, ambientale, paesaggistico,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agronomico e forestale, storico-artistico, conservativo, nonché tecnologico: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31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w w:val="98"/>
                <w:sz w:val="19"/>
              </w:rPr>
              <w:t>ricorso a professionalità interne in possesso di idonea competenza nelle materie oggetto progetto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utilizzo della procedura del concorso di progettazione o del concorso di idee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Non si tratta di lavori di particolare rilevanza sotto il profilo architettonico, ambientale, paesaggistico,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agronomico e forestale, storico-artistico, conservativo, nonché tecnologico: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31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uffici tecnici delle stazioni appaltanti (progettazione interna)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1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uffici consortili di progettazione e di direzione dei lavori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organismi di altre pubbliche amministrazioni (per legge)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1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ricorso a soggetti esterni (appalto v.</w:t>
            </w:r>
            <w:r>
              <w:rPr>
                <w:rFonts w:ascii="Arial" w:eastAsia="Arial" w:hAnsi="Arial"/>
                <w:b/>
                <w:sz w:val="22"/>
              </w:rPr>
              <w:t xml:space="preserve"> </w:t>
            </w:r>
            <w:r>
              <w:rPr>
                <w:rFonts w:ascii="Arial" w:eastAsia="Arial" w:hAnsi="Arial"/>
                <w:b/>
                <w:sz w:val="19"/>
              </w:rPr>
              <w:t>checklist M)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Verifica caratteristiche, requisiti ed elaborati previsti dal livello di progettazione richiesto (fattibilità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 e 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tecnica ed economica, definitiva ed esecutiva) (contenuti art. 23 c. 3 - in attesa Decreto MIT – art.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4)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Trattasi di progettazione semplificata per interventi di manutenzione ordinaria fino a un importo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3bis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2.500.000 euro (in attesa Decreto MIT)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F465D6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 xml:space="preserve">È </w:t>
            </w:r>
            <w:r w:rsidR="000B0ACB">
              <w:rPr>
                <w:rFonts w:ascii="Arial" w:eastAsia="Arial" w:hAnsi="Arial"/>
                <w:b/>
                <w:w w:val="97"/>
              </w:rPr>
              <w:t>stata  effettuata  la  verifica  preventiva  dell’interesse  archeologico  (invio  al  soprintendente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territorialmente  competente,  prima  dell’approvazione,  della  copia  del  progetto  di  fattibilità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dell’intervento o di uno stralcio di esso sufficiente ai fini archeologici)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598" w:bottom="156" w:left="560" w:header="0" w:footer="0" w:gutter="0"/>
          <w:cols w:space="0" w:equalWidth="0">
            <w:col w:w="15680"/>
          </w:cols>
          <w:docGrid w:linePitch="360"/>
        </w:sectPr>
      </w:pPr>
    </w:p>
    <w:p w:rsidR="000B0ACB" w:rsidRDefault="000B0ACB">
      <w:pPr>
        <w:spacing w:line="3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3</w:t>
      </w: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598" w:bottom="156" w:left="560" w:header="0" w:footer="0" w:gutter="0"/>
          <w:cols w:space="0" w:equalWidth="0">
            <w:col w:w="156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7" w:name="page5"/>
      <w:bookmarkEnd w:id="7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1625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9989185" cy="5586730"/>
            <wp:effectExtent l="19050" t="0" r="0" b="0"/>
            <wp:wrapNone/>
            <wp:docPr id="2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918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20"/>
        <w:gridCol w:w="904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E’ stata effettuata la verifica preventiva della progettazione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26</w:t>
            </w: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E’ stata effettuata la validazione del progetto posto a base di gara (atto formale che riporta gli esiti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26 c. 8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verifica), sottoscritta dal responsabile unico del procedimento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4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E’ stata effettuata la procedura di approvazione del progetto (conferenza di servizi, fattibilità,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27</w:t>
            </w:r>
          </w:p>
        </w:tc>
      </w:tr>
      <w:tr w:rsidR="000B0ACB">
        <w:trPr>
          <w:trHeight w:val="22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interferenze, ecc.)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Legge 241/1990</w:t>
            </w:r>
          </w:p>
        </w:tc>
      </w:tr>
      <w:tr w:rsidR="000B0ACB">
        <w:trPr>
          <w:trHeight w:val="5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0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B0ACB">
        <w:trPr>
          <w:trHeight w:val="6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4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Appalto servizi e forniture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Verifica caratteristiche, requisiti ed elaborati previsti dal livello di progettazione richiesto (di regola,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14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 unico livello)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24"/>
        </w:trPr>
        <w:tc>
          <w:tcPr>
            <w:tcW w:w="7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Verifica contenuti del progetto per appalto servizi: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15</w:t>
            </w:r>
          </w:p>
        </w:tc>
      </w:tr>
      <w:tr w:rsidR="000B0ACB">
        <w:trPr>
          <w:trHeight w:val="60"/>
        </w:trPr>
        <w:tc>
          <w:tcPr>
            <w:tcW w:w="7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relazione tecnico-illustrativa del contesto in cui è inserito il servizio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indicazioni e disposizioni per la stesura dei documenti inerenti alla sicurezza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calcolo importi con indicazione degli oneri della sicurezza non soggetti a ribasso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 prospetto economico degli oneri complessivi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-  capitolato speciale descrittivo e prestazionale (specifiche tecniche, requisiti minimi offerte, aspetti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oggetto di variante migliorativa, i criteri premiali valutazione offerte, altre circostanze)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24"/>
        </w:trPr>
        <w:tc>
          <w:tcPr>
            <w:tcW w:w="7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Incentivi per funzioni tecniche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113</w:t>
            </w:r>
          </w:p>
        </w:tc>
      </w:tr>
      <w:tr w:rsidR="000B0ACB">
        <w:trPr>
          <w:trHeight w:val="60"/>
        </w:trPr>
        <w:tc>
          <w:tcPr>
            <w:tcW w:w="7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74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Comunicato ANAC</w:t>
            </w:r>
          </w:p>
        </w:tc>
      </w:tr>
      <w:tr w:rsidR="000B0ACB">
        <w:trPr>
          <w:trHeight w:val="16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74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6.9.2017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Sono state destinate ad un apposito fondo risorse finanziarie in misura non superiore al 2 per cento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modulate sull’importo dei lavori, servizi e forniture, posti a base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L’ottanta per cento delle risorse finanziarie del fondo è ripartito, per ciascuna opera o lavoro,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servizio, fornitura con le modalità e i criteri previsti in sede di contrattazione decentrata integrativa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del personale, sulla base di apposito regolamento adottato dalle amministrazioni secondo i rispettivi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ordinamenti, tra il responsabile unico del procedimento e i soggetti che svolgono le funzioni tecniche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nonché tra i loro collaboratori (no per attività di progettazione)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1440" w:bottom="156" w:left="560" w:header="0" w:footer="0" w:gutter="0"/>
          <w:cols w:space="0" w:equalWidth="0">
            <w:col w:w="1483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9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4</w:t>
      </w:r>
    </w:p>
    <w:p w:rsidR="000B0ACB" w:rsidRDefault="000B0ACB">
      <w:pPr>
        <w:spacing w:line="0" w:lineRule="atLeast"/>
        <w:ind w:left="1376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440" w:bottom="156" w:left="560" w:header="0" w:footer="0" w:gutter="0"/>
          <w:cols w:space="0" w:equalWidth="0">
            <w:col w:w="14838"/>
          </w:cols>
          <w:docGrid w:linePitch="360"/>
        </w:sect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</w:rPr>
      </w:pPr>
      <w:bookmarkStart w:id="8" w:name="page6"/>
      <w:bookmarkEnd w:id="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17280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388620</wp:posOffset>
            </wp:positionV>
            <wp:extent cx="9248775" cy="5691505"/>
            <wp:effectExtent l="19050" t="0" r="9525" b="0"/>
            <wp:wrapNone/>
            <wp:docPr id="26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69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  <w:color w:val="FFFFFF"/>
          <w:sz w:val="24"/>
        </w:rPr>
      </w:pPr>
      <w:r>
        <w:rPr>
          <w:rFonts w:ascii="Arial" w:eastAsia="Arial" w:hAnsi="Arial"/>
          <w:b/>
          <w:color w:val="FFFFFF"/>
          <w:sz w:val="24"/>
        </w:rPr>
        <w:t>D – PROCEDURA - STAZIONE APPALTANTE – OGGETTO APPALTO - CRITERIO AGGIUDICAZIONE - SETTORE - RUP</w:t>
      </w:r>
    </w:p>
    <w:p w:rsidR="000B0ACB" w:rsidRDefault="000B0ACB">
      <w:pPr>
        <w:spacing w:line="25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Codice CIG</w:t>
      </w:r>
    </w:p>
    <w:p w:rsidR="000B0ACB" w:rsidRDefault="000B0ACB">
      <w:pPr>
        <w:spacing w:line="25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Oggetto dell’appalto</w:t>
      </w:r>
    </w:p>
    <w:p w:rsidR="000B0ACB" w:rsidRDefault="000B0ACB">
      <w:pPr>
        <w:spacing w:line="25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460"/>
        <w:gridCol w:w="620"/>
        <w:gridCol w:w="4980"/>
        <w:gridCol w:w="5460"/>
      </w:tblGrid>
      <w:tr w:rsidR="000B0ACB">
        <w:trPr>
          <w:trHeight w:val="260"/>
        </w:trPr>
        <w:tc>
          <w:tcPr>
            <w:tcW w:w="40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Valore dell’appalto comprese opzioni</w:t>
            </w:r>
          </w:p>
        </w:tc>
        <w:tc>
          <w:tcPr>
            <w:tcW w:w="49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□ Soprasoglia</w:t>
            </w:r>
          </w:p>
        </w:tc>
      </w:tr>
      <w:tr w:rsidR="000B0ACB">
        <w:trPr>
          <w:trHeight w:val="230"/>
        </w:trPr>
        <w:tc>
          <w:tcPr>
            <w:tcW w:w="40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(art. 35)</w:t>
            </w:r>
          </w:p>
        </w:tc>
        <w:tc>
          <w:tcPr>
            <w:tcW w:w="49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6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□ Sottosoglia</w:t>
            </w:r>
          </w:p>
        </w:tc>
      </w:tr>
      <w:tr w:rsidR="000B0ACB">
        <w:trPr>
          <w:trHeight w:val="186"/>
        </w:trPr>
        <w:tc>
          <w:tcPr>
            <w:tcW w:w="40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6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B0ACB">
        <w:trPr>
          <w:trHeight w:val="124"/>
        </w:trPr>
        <w:tc>
          <w:tcPr>
            <w:tcW w:w="40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76"/>
        </w:trPr>
        <w:tc>
          <w:tcPr>
            <w:tcW w:w="40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Tipo di appalto/prestazioni (cfr. tipologia di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□ realizzazione di opere e lavori  □ fornitura di beni</w:t>
            </w:r>
          </w:p>
        </w:tc>
        <w:tc>
          <w:tcPr>
            <w:tcW w:w="5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 prestazione di servizi   □ contratto misto (*)</w:t>
            </w:r>
          </w:p>
        </w:tc>
      </w:tr>
      <w:tr w:rsidR="000B0ACB">
        <w:trPr>
          <w:trHeight w:val="69"/>
        </w:trPr>
        <w:tc>
          <w:tcPr>
            <w:tcW w:w="40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99"/>
        </w:trPr>
        <w:tc>
          <w:tcPr>
            <w:tcW w:w="346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investimento v. checklist A)</w:t>
            </w:r>
          </w:p>
        </w:tc>
        <w:tc>
          <w:tcPr>
            <w:tcW w:w="11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199" w:lineRule="exact"/>
              <w:ind w:left="820"/>
              <w:rPr>
                <w:rFonts w:ascii="Arial" w:eastAsia="Arial" w:hAnsi="Arial"/>
                <w:b/>
                <w:w w:val="93"/>
                <w:sz w:val="18"/>
              </w:rPr>
            </w:pPr>
            <w:r>
              <w:rPr>
                <w:rFonts w:ascii="Arial" w:eastAsia="Arial" w:hAnsi="Arial"/>
                <w:b/>
                <w:w w:val="93"/>
                <w:sz w:val="18"/>
              </w:rPr>
              <w:t>(*) art. 28 L’aggiudicazione avviene secondo le disposizioni applicabili al tipo di appalto che caratterizza l’oggetto principale del</w:t>
            </w:r>
          </w:p>
        </w:tc>
      </w:tr>
      <w:tr w:rsidR="000B0ACB">
        <w:trPr>
          <w:trHeight w:val="80"/>
        </w:trPr>
        <w:tc>
          <w:tcPr>
            <w:tcW w:w="346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1060" w:type="dxa"/>
            <w:gridSpan w:val="3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contratto. Nei contratti misti l’oggetto principale è determinato in base al valore stimato più elevato.</w:t>
            </w:r>
          </w:p>
        </w:tc>
      </w:tr>
      <w:tr w:rsidR="000B0ACB">
        <w:trPr>
          <w:trHeight w:val="126"/>
        </w:trPr>
        <w:tc>
          <w:tcPr>
            <w:tcW w:w="3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060" w:type="dxa"/>
            <w:gridSpan w:val="3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62"/>
        </w:trPr>
        <w:tc>
          <w:tcPr>
            <w:tcW w:w="3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0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spacing w:line="107" w:lineRule="exact"/>
        <w:rPr>
          <w:rFonts w:ascii="Times New Roman" w:eastAsia="Times New Roman" w:hAnsi="Times New Roman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PROCEDURA APERTA (art. 60)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PROCEDURA RISTRETTA (art. 61)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PROCEDURA COMPETITIVA CON NEGOZIAZIONE (art. 62)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PROCEDURA NEGOZIATA SENZA PREVIA PUBBLICAZIONE DI UN BANDO DI GARA (art. 63)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DIALOGO COMPETITIVO (art. 64)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PARTENARIATO PER L’INNOVAZIONE (art. 65)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AFFIDAMENTO DIRETTO (art. 36, comma 2, lettera a)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1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PROCEDURA NEGOZIATA SEMPLIFICATA LAVORI, SERVIZI E FORNITURE (art. 36, comma 2, lettera b)</w:t>
      </w:r>
    </w:p>
    <w:p w:rsidR="000B0ACB" w:rsidRDefault="000B0ACB">
      <w:pPr>
        <w:spacing w:line="71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4260"/>
        </w:tabs>
        <w:spacing w:line="0" w:lineRule="atLeast"/>
        <w:ind w:left="12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22"/>
        </w:rPr>
        <w:t>Tipo di procedura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22"/>
        </w:rPr>
        <w:t xml:space="preserve">□ </w:t>
      </w:r>
      <w:r>
        <w:rPr>
          <w:rFonts w:ascii="Arial" w:eastAsia="Arial" w:hAnsi="Arial"/>
          <w:b/>
          <w:sz w:val="17"/>
        </w:rPr>
        <w:t>PROCEDURA NEGOZIATA SEMPLIFICATA PER LAVORI (art. 36, comma 2, lettera c)</w:t>
      </w:r>
    </w:p>
    <w:p w:rsidR="000B0ACB" w:rsidRDefault="000B0ACB">
      <w:pPr>
        <w:spacing w:line="49" w:lineRule="exact"/>
        <w:rPr>
          <w:rFonts w:ascii="Times New Roman" w:eastAsia="Times New Roman" w:hAnsi="Times New Roman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AFFIDAMENTI IN HOUSE (art. 5, comma 1 - art. 192, comma 1)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ACCORDO TRA PIÙ AMMINISTRAZIONI (art. 5, comma 6)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ORDINE SU CONVENZIONE QUADRO CONSIP o SOGGETTO AGGREGATORE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ORDINE SU ACCORDO QUADRO STIPULATO DA CENTRALE COMMITTENZA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RICHIESTA DI OFFERTA SU MEPA (RDO) (servizi/forniture &lt; 209.000 € - lavori manutenzione &lt; 1.000.000 €)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ORDINE DIRETTO DI ACQUISTO SU MEPA (ODA)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ORDINE SU ALTRO MERCATO ELETTRONICO REALIZZATO DA CENTRALE DI COMMITTENZA</w:t>
      </w:r>
    </w:p>
    <w:p w:rsidR="000B0ACB" w:rsidRDefault="000B0ACB">
      <w:pPr>
        <w:spacing w:line="61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SISTEMA DINAMICO DI ACQUISIZIONE (art. 55)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2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ASTE ELETTRONICHE (art. 56)</w:t>
      </w:r>
    </w:p>
    <w:p w:rsidR="000B0ACB" w:rsidRDefault="000B0ACB">
      <w:p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  <w:sectPr w:rsidR="000B0ACB"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5</w:t>
      </w: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</w:rPr>
      </w:pPr>
      <w:bookmarkStart w:id="9" w:name="page7"/>
      <w:bookmarkEnd w:id="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18304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114300</wp:posOffset>
            </wp:positionV>
            <wp:extent cx="9248775" cy="6082030"/>
            <wp:effectExtent l="19050" t="0" r="9525" b="0"/>
            <wp:wrapNone/>
            <wp:docPr id="2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608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6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120"/>
        <w:gridCol w:w="10400"/>
      </w:tblGrid>
      <w:tr w:rsidR="000B0ACB">
        <w:trPr>
          <w:trHeight w:val="262"/>
        </w:trPr>
        <w:tc>
          <w:tcPr>
            <w:tcW w:w="4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CATALOGHI ELETTRONICI (art. 57)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PIATTAFORME TELEMATICHE DI NEGOZIAZIONE (art. 58)</w:t>
            </w:r>
          </w:p>
        </w:tc>
      </w:tr>
      <w:tr w:rsidR="000B0ACB">
        <w:trPr>
          <w:trHeight w:val="122"/>
        </w:trPr>
        <w:tc>
          <w:tcPr>
            <w:tcW w:w="4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0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STATALE CENTRALE O PERIFERICA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ISTITUTO O SCUOLA DI OGNI ORDINE E GRADO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ISTITUZIONE EDUCATIVA O ISTITUZIONE UNIVERSITARIA</w:t>
            </w:r>
          </w:p>
        </w:tc>
      </w:tr>
      <w:tr w:rsidR="000B0ACB">
        <w:trPr>
          <w:trHeight w:val="314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REGIONE</w:t>
            </w:r>
          </w:p>
        </w:tc>
      </w:tr>
      <w:tr w:rsidR="000B0ACB">
        <w:trPr>
          <w:trHeight w:val="312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Tipo stazione appaltante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REGIONALE</w:t>
            </w:r>
          </w:p>
        </w:tc>
      </w:tr>
      <w:tr w:rsidR="000B0ACB">
        <w:trPr>
          <w:trHeight w:val="125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LOCALE DI CUI ALL’ART. 2 DEL D.LGS. 18 AGOSTO 2000, N. 267</w:t>
            </w:r>
          </w:p>
        </w:tc>
      </w:tr>
      <w:tr w:rsidR="000B0ACB">
        <w:trPr>
          <w:trHeight w:val="190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4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B0ACB">
        <w:trPr>
          <w:trHeight w:val="334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qualificata (AUSA – Elenco ANAC)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CONSORZIO O ASSOCIAZIONE DI ENTI LOCALI</w:t>
            </w:r>
          </w:p>
        </w:tc>
      </w:tr>
      <w:tr w:rsidR="000B0ACB">
        <w:trPr>
          <w:trHeight w:val="293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non qualificata con limite: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DEL SERVIZIO SANITARIO NAZIONALE</w:t>
            </w:r>
          </w:p>
        </w:tc>
      </w:tr>
      <w:tr w:rsidR="000B0ACB">
        <w:trPr>
          <w:trHeight w:val="230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COMUNE NON CAPOLUOGO DI PROVINCIA</w:t>
            </w:r>
          </w:p>
        </w:tc>
      </w:tr>
      <w:tr w:rsidR="000B0ACB">
        <w:trPr>
          <w:trHeight w:val="8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4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0B0ACB">
        <w:trPr>
          <w:trHeight w:val="248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 e forniture &lt; 40.000 €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AUTONOMAMENTE E DIRETTAMENTE (SOLO PER SERVIZI/FORNITURE &lt; 40.000 € E LAVORI &lt; 150.000 €)</w:t>
            </w:r>
          </w:p>
        </w:tc>
      </w:tr>
      <w:tr w:rsidR="000B0ACB">
        <w:trPr>
          <w:trHeight w:val="78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04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ADESIONE A CONVENZIONE/ACCORDO QUADRO DI CENTRALE COMMITTENZA O SOGGETTO AGGREGATORE</w:t>
            </w:r>
          </w:p>
        </w:tc>
      </w:tr>
      <w:tr w:rsidR="000B0ACB">
        <w:trPr>
          <w:trHeight w:val="106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182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lavori &lt; 150.000 €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182" w:lineRule="exac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CENTRALE DI COMMITTENZA O SOGGETTO AGGREGATORE QUALIFICATO</w:t>
            </w:r>
          </w:p>
        </w:tc>
      </w:tr>
      <w:tr w:rsidR="000B0ACB">
        <w:trPr>
          <w:trHeight w:val="119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UNIONE DI COMUNI COSTITUITA E QUALIFICATA COME CENTRALE DI COMMITTENZA</w:t>
            </w:r>
          </w:p>
        </w:tc>
      </w:tr>
      <w:tr w:rsidR="000B0ACB">
        <w:trPr>
          <w:trHeight w:val="66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85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soggetti di cui all’art. 1, comma 2, lettere a),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ASSOCIAZIONE O CONSORZIO IN CENTRALI DI COMMITTENZA NELLE FORME PREVISTE DALL’ORDINAMENTO</w:t>
            </w:r>
          </w:p>
        </w:tc>
      </w:tr>
      <w:tr w:rsidR="000B0ACB">
        <w:trPr>
          <w:trHeight w:val="246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  STAZIONE UNICA APPALTANTE COSTITUITA PRESSO GLI ENTI DI AREA VASTA</w:t>
            </w:r>
          </w:p>
        </w:tc>
      </w:tr>
      <w:tr w:rsidR="000B0ACB">
        <w:trPr>
          <w:trHeight w:val="246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5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b), c), d), e)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246" w:lineRule="exac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COMUNE CAPOLUOGO DI PROVINCIA</w:t>
            </w:r>
          </w:p>
        </w:tc>
      </w:tr>
      <w:tr w:rsidR="000B0ACB">
        <w:trPr>
          <w:trHeight w:val="314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PUBBLICA INSERITA NEL CONTO ECONOMICO CONSOLIDATO ISTAT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AMMINISTRAZIONE PUBBLICA DI CUI ALL’ART. 1 DEL DECRETO LEGISLATIVO 30 MARZO 2001, N. 165</w:t>
            </w:r>
          </w:p>
        </w:tc>
      </w:tr>
      <w:tr w:rsidR="000B0ACB">
        <w:trPr>
          <w:trHeight w:val="314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ENTE PUBBLICO NON ECONOMICO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ORGANISMO DI DIRITTO PUBBLICO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ALTRO (specificare) __________________</w:t>
            </w:r>
          </w:p>
        </w:tc>
      </w:tr>
      <w:tr w:rsidR="000B0ACB">
        <w:trPr>
          <w:trHeight w:val="64"/>
        </w:trPr>
        <w:tc>
          <w:tcPr>
            <w:tcW w:w="4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00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INFERIORE A 40.000 EURO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INFERIORE A 150.000 EURO</w:t>
            </w:r>
          </w:p>
        </w:tc>
      </w:tr>
      <w:tr w:rsidR="000B0ACB">
        <w:trPr>
          <w:trHeight w:val="314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PARI O SUPERIORE A 40.000 EURO E INFERIORE A SOGLIA ART. 35</w:t>
            </w:r>
          </w:p>
        </w:tc>
      </w:tr>
      <w:tr w:rsidR="000B0ACB">
        <w:trPr>
          <w:trHeight w:val="312"/>
        </w:trPr>
        <w:tc>
          <w:tcPr>
            <w:tcW w:w="41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Tipologia di appalto</w:t>
            </w: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150.000 EURO E INFERIORE A 1.000.000 EURO</w:t>
            </w:r>
          </w:p>
        </w:tc>
      </w:tr>
      <w:tr w:rsidR="000B0ACB">
        <w:trPr>
          <w:trHeight w:val="218"/>
        </w:trPr>
        <w:tc>
          <w:tcPr>
            <w:tcW w:w="41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4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FORNITURA O SERVIZIO DI IMPORTO PARI O SUPERIORE A SOGLIA ART. 35</w:t>
            </w:r>
          </w:p>
        </w:tc>
      </w:tr>
      <w:tr w:rsidR="000B0ACB">
        <w:trPr>
          <w:trHeight w:val="96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1.000.000 EURO E INFERIORE A 5.225.000 EURO</w:t>
            </w:r>
          </w:p>
        </w:tc>
      </w:tr>
      <w:tr w:rsidR="000B0ACB">
        <w:trPr>
          <w:trHeight w:val="312"/>
        </w:trPr>
        <w:tc>
          <w:tcPr>
            <w:tcW w:w="4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2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LAVORO DI IMPORTO PARI O SUPERIORE A 5.225.000 EURO</w:t>
            </w:r>
          </w:p>
        </w:tc>
      </w:tr>
    </w:tbl>
    <w:p w:rsidR="000B0ACB" w:rsidRDefault="000B0ACB">
      <w:pPr>
        <w:spacing w:line="1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28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forniture e servizi indicare se:</w:t>
      </w:r>
    </w:p>
    <w:p w:rsidR="000B0ACB" w:rsidRDefault="000B0ACB">
      <w:pPr>
        <w:spacing w:line="49" w:lineRule="exact"/>
        <w:rPr>
          <w:rFonts w:ascii="Times New Roman" w:eastAsia="Times New Roman" w:hAnsi="Times New Roman"/>
        </w:rPr>
      </w:pPr>
    </w:p>
    <w:p w:rsidR="000B0ACB" w:rsidRDefault="000B0ACB">
      <w:pPr>
        <w:numPr>
          <w:ilvl w:val="0"/>
          <w:numId w:val="3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CATEGORIA MERCEOLOGICA DPCM 24 DICEMBRE 2015, DI CUI ALL’ART. 9, COMMA 3, D.L. N. 66/2014</w:t>
      </w:r>
    </w:p>
    <w:p w:rsidR="000B0ACB" w:rsidRDefault="000B0ACB">
      <w:p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  <w:sectPr w:rsidR="000B0ACB"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32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6</w:t>
      </w: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0" w:lineRule="atLeast"/>
        <w:ind w:left="120"/>
        <w:rPr>
          <w:rFonts w:ascii="Arial" w:eastAsia="Arial" w:hAnsi="Arial"/>
          <w:b/>
        </w:rPr>
      </w:pPr>
      <w:bookmarkStart w:id="10" w:name="page8"/>
      <w:bookmarkEnd w:id="10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19328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114300</wp:posOffset>
            </wp:positionV>
            <wp:extent cx="9248775" cy="5915660"/>
            <wp:effectExtent l="19050" t="0" r="9525" b="0"/>
            <wp:wrapNone/>
            <wp:docPr id="2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91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79" w:lineRule="exact"/>
        <w:rPr>
          <w:rFonts w:ascii="Times New Roman" w:eastAsia="Times New Roman" w:hAnsi="Times New Roman"/>
        </w:rPr>
      </w:pPr>
    </w:p>
    <w:p w:rsidR="000B0ACB" w:rsidRDefault="000B0ACB">
      <w:pPr>
        <w:numPr>
          <w:ilvl w:val="0"/>
          <w:numId w:val="4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CATEGORIA MERCEOLOGICA DM DEL 22 DICEMBRE 2015, DI CUI ALL’ART. 1, COMMA 7, D.L. N. 95/2012</w:t>
      </w:r>
    </w:p>
    <w:p w:rsidR="000B0ACB" w:rsidRDefault="000B0ACB">
      <w:pPr>
        <w:spacing w:line="59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4"/>
        </w:numPr>
        <w:tabs>
          <w:tab w:val="left" w:pos="4480"/>
        </w:tabs>
        <w:spacing w:line="0" w:lineRule="atLeast"/>
        <w:ind w:left="4480" w:hanging="193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>FORNITURA O SERVIZIO INFORMATICO O DI CONNETTIVITÀ, DI CUI AL COMMA 516 LEGGE N. 208/2015</w:t>
      </w:r>
    </w:p>
    <w:p w:rsidR="000B0ACB" w:rsidRDefault="000B0ACB">
      <w:pPr>
        <w:spacing w:line="177" w:lineRule="exact"/>
        <w:rPr>
          <w:rFonts w:ascii="Arial" w:eastAsia="Arial" w:hAnsi="Arial"/>
          <w:b/>
          <w:sz w:val="22"/>
        </w:rPr>
      </w:pPr>
    </w:p>
    <w:p w:rsidR="000B0ACB" w:rsidRDefault="000B0ACB">
      <w:pPr>
        <w:numPr>
          <w:ilvl w:val="0"/>
          <w:numId w:val="4"/>
        </w:numPr>
        <w:tabs>
          <w:tab w:val="left" w:pos="4520"/>
        </w:tabs>
        <w:spacing w:line="0" w:lineRule="atLeast"/>
        <w:ind w:left="4520" w:hanging="233"/>
        <w:rPr>
          <w:rFonts w:ascii="Arial" w:eastAsia="Arial" w:hAnsi="Arial"/>
          <w:b/>
          <w:sz w:val="28"/>
        </w:rPr>
      </w:pPr>
      <w:r>
        <w:rPr>
          <w:rFonts w:ascii="Arial" w:eastAsia="Arial" w:hAnsi="Arial"/>
          <w:b/>
          <w:sz w:val="18"/>
        </w:rPr>
        <w:t>SULLA BASE DELL’ELEMENTO PREZZO O DEL COSTO</w:t>
      </w:r>
    </w:p>
    <w:p w:rsidR="000B0ACB" w:rsidRDefault="000B0ACB">
      <w:pPr>
        <w:spacing w:line="151" w:lineRule="exact"/>
        <w:rPr>
          <w:rFonts w:ascii="Arial" w:eastAsia="Arial" w:hAnsi="Arial"/>
          <w:b/>
          <w:sz w:val="28"/>
        </w:rPr>
      </w:pPr>
    </w:p>
    <w:p w:rsidR="000B0ACB" w:rsidRDefault="000B0ACB">
      <w:pPr>
        <w:spacing w:line="234" w:lineRule="auto"/>
        <w:ind w:left="4520" w:right="10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Criterio possibile (scelta discrezionale stazione appaltante) con adeguata motivazione da riportare sul decreto o determina a contrarre (art. 32), solo per:</w:t>
      </w:r>
    </w:p>
    <w:p w:rsidR="000B0ACB" w:rsidRDefault="000B0ACB">
      <w:pPr>
        <w:spacing w:line="129" w:lineRule="exact"/>
        <w:rPr>
          <w:rFonts w:ascii="Arial" w:eastAsia="Arial" w:hAnsi="Arial"/>
          <w:b/>
          <w:sz w:val="28"/>
        </w:rPr>
      </w:pPr>
    </w:p>
    <w:p w:rsidR="000B0ACB" w:rsidRDefault="000B0ACB">
      <w:pPr>
        <w:spacing w:line="236" w:lineRule="auto"/>
        <w:ind w:left="4800" w:right="100" w:hanging="283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o LAVORI DI IMPORTO PARI O INFERIORE A 1.000.000 EURO, SULLA BASE DEL PROGETTO ESECUTIVO, CON PROCEDURA NEGOZIATA SEMPLIFICATA</w:t>
      </w:r>
    </w:p>
    <w:p w:rsidR="000B0ACB" w:rsidRDefault="000B0ACB">
      <w:pPr>
        <w:spacing w:line="68" w:lineRule="exact"/>
        <w:rPr>
          <w:rFonts w:ascii="Arial" w:eastAsia="Arial" w:hAnsi="Arial"/>
          <w:b/>
          <w:sz w:val="28"/>
        </w:rPr>
      </w:pPr>
    </w:p>
    <w:p w:rsidR="000B0ACB" w:rsidRDefault="000B0ACB">
      <w:pPr>
        <w:spacing w:line="234" w:lineRule="auto"/>
        <w:ind w:left="4800" w:right="100" w:hanging="283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o LAVORI DI IMPORTO PARI O INFERIORE A 2.000.000 EURO, SULLA BASE DEL PROGETTO ESECUTIVO, CON PROCEDURA ORDINARIA</w:t>
      </w:r>
    </w:p>
    <w:p w:rsidR="000B0ACB" w:rsidRDefault="000B0ACB">
      <w:pPr>
        <w:spacing w:line="69" w:lineRule="exact"/>
        <w:rPr>
          <w:rFonts w:ascii="Arial" w:eastAsia="Arial" w:hAnsi="Arial"/>
          <w:b/>
          <w:sz w:val="28"/>
        </w:rPr>
      </w:pPr>
    </w:p>
    <w:p w:rsidR="000B0ACB" w:rsidRDefault="000B0ACB">
      <w:pPr>
        <w:spacing w:line="236" w:lineRule="auto"/>
        <w:ind w:left="4800" w:right="100" w:hanging="283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o SERVIZI E FORNITURE DI QUALSIASI IMPORTO CON CARATTERISTICHE STANDARDIZZATE O LE CUI CONDIZIONI SONO DEFINITE DAL MERCATO</w:t>
      </w:r>
    </w:p>
    <w:p w:rsidR="000B0ACB" w:rsidRDefault="000B0ACB">
      <w:pPr>
        <w:spacing w:line="68" w:lineRule="exact"/>
        <w:rPr>
          <w:rFonts w:ascii="Arial" w:eastAsia="Arial" w:hAnsi="Arial"/>
          <w:b/>
          <w:sz w:val="28"/>
        </w:rPr>
      </w:pPr>
    </w:p>
    <w:p w:rsidR="000B0ACB" w:rsidRDefault="000B0ACB">
      <w:pPr>
        <w:spacing w:line="0" w:lineRule="atLeast"/>
        <w:ind w:left="45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o  SERVIZI E FORNITURE DI IMPORTO INFERIORE A 40.000 EURO DI QUALSIASI TIPOLOGIA</w:t>
      </w:r>
    </w:p>
    <w:p w:rsidR="000B0ACB" w:rsidRDefault="000B0ACB">
      <w:pPr>
        <w:spacing w:line="51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180"/>
        <w:gridCol w:w="520"/>
        <w:gridCol w:w="5060"/>
        <w:gridCol w:w="4760"/>
      </w:tblGrid>
      <w:tr w:rsidR="000B0ACB">
        <w:trPr>
          <w:trHeight w:val="214"/>
        </w:trPr>
        <w:tc>
          <w:tcPr>
            <w:tcW w:w="41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Criterio di aggiudicazione (art. 95)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</w:t>
            </w:r>
          </w:p>
        </w:tc>
        <w:tc>
          <w:tcPr>
            <w:tcW w:w="9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SERVIZI E FORNITURE DI IMPORTO PARI O SUPERIORE A 40.000 EURO E INFERIORE ALLA SOGLIA UE</w:t>
            </w:r>
          </w:p>
        </w:tc>
      </w:tr>
      <w:tr w:rsidR="000B0ACB">
        <w:trPr>
          <w:trHeight w:val="134"/>
        </w:trPr>
        <w:tc>
          <w:tcPr>
            <w:tcW w:w="41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2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199" w:lineRule="exac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CARATTERIZZATI  DA  ELEVATA  RIPETITIVITÀ  (AD  ECCEZIONE  DI  QUELLI  DI  NOTEVOLE  CONTENUTO</w:t>
            </w:r>
          </w:p>
        </w:tc>
      </w:tr>
      <w:tr w:rsidR="000B0ACB">
        <w:trPr>
          <w:trHeight w:val="64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2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0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TECNOLOGICO O CHE HANNO UN CARATTERE INNOVATIVO)</w:t>
            </w:r>
          </w:p>
        </w:tc>
      </w:tr>
      <w:tr w:rsidR="000B0ACB">
        <w:trPr>
          <w:trHeight w:val="442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SULLA BASE DEL MIGLIOR RAPPORTO QUALITÀ/PREZZO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44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  SERVIZI SOCIALI E DI RISTORAZIONE OSPEDALIERA, ASSISTENZIALE E SCOLASTICA</w:t>
            </w:r>
          </w:p>
        </w:tc>
      </w:tr>
      <w:tr w:rsidR="000B0ACB">
        <w:trPr>
          <w:trHeight w:val="26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  SERVIZI AD ALTA INTENSITÀ DI MANODOPERA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60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3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  SERVIZI DI INGEGNERIA E ARCHITETTURA E DEGLI ALTRI SERVIZI DI NATURA TECNICA E INTELLETTUALE, DI</w:t>
            </w:r>
          </w:p>
        </w:tc>
      </w:tr>
      <w:tr w:rsidR="000B0ACB">
        <w:trPr>
          <w:trHeight w:val="199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199" w:lineRule="exac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IMPORTO SUPERIORE A 40.000 EURO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74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  SERVIZI  E  FORNITURE  DI  NOTEVOLE  CONTENUTO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TECNOLOGICO  O  CHE  HANNO  UN  CARATTERE</w:t>
            </w:r>
          </w:p>
        </w:tc>
      </w:tr>
      <w:tr w:rsidR="000B0ACB">
        <w:trPr>
          <w:trHeight w:val="199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199" w:lineRule="exac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INNOVATIVO, DI QUALUNQUE IMPORTO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2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  ALTRI LAVORI, SERVIZI O FORNITURE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42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</w:t>
            </w:r>
            <w:r>
              <w:rPr>
                <w:rFonts w:ascii="Arial" w:eastAsia="Arial" w:hAnsi="Arial"/>
                <w:b/>
                <w:sz w:val="17"/>
              </w:rPr>
              <w:t>SULLA BASE DEL PREZZO O COSTO FISSO IN RELAZIONE A CRITERI QUALITATIVI</w:t>
            </w: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Importo a base d’asta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Motivazione ragionevolezza costi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Importo aggiudicato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€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5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Ribasso % del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Offerte pervenute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</w:t>
            </w:r>
          </w:p>
        </w:tc>
        <w:tc>
          <w:tcPr>
            <w:tcW w:w="5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5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di cui valide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4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n°</w:t>
            </w: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6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Soggetto aggiudicatario</w:t>
            </w:r>
          </w:p>
        </w:tc>
        <w:tc>
          <w:tcPr>
            <w:tcW w:w="5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Dati identificativi</w:t>
            </w:r>
          </w:p>
        </w:tc>
        <w:tc>
          <w:tcPr>
            <w:tcW w:w="4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0"/>
        </w:rPr>
        <w:sectPr w:rsidR="000B0ACB"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7</w:t>
      </w:r>
    </w:p>
    <w:p w:rsidR="000B0ACB" w:rsidRDefault="000B0ACB">
      <w:pPr>
        <w:spacing w:line="0" w:lineRule="atLeast"/>
        <w:ind w:left="1302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018" w:bottom="156" w:left="1300" w:header="0" w:footer="0" w:gutter="0"/>
          <w:cols w:space="0" w:equalWidth="0">
            <w:col w:w="14520"/>
          </w:cols>
          <w:docGrid w:linePitch="360"/>
        </w:sect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</w:rPr>
      </w:pPr>
      <w:bookmarkStart w:id="11" w:name="page9"/>
      <w:bookmarkEnd w:id="1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2035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114300</wp:posOffset>
            </wp:positionV>
            <wp:extent cx="9248775" cy="5586730"/>
            <wp:effectExtent l="19050" t="0" r="9525" b="0"/>
            <wp:wrapNone/>
            <wp:docPr id="2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09" w:lineRule="exact"/>
        <w:rPr>
          <w:rFonts w:ascii="Times New Roman" w:eastAsia="Times New Roman" w:hAnsi="Times New Roman"/>
        </w:rPr>
      </w:pPr>
    </w:p>
    <w:tbl>
      <w:tblPr>
        <w:tblW w:w="0" w:type="auto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180"/>
        <w:gridCol w:w="10340"/>
      </w:tblGrid>
      <w:tr w:rsidR="000B0ACB">
        <w:trPr>
          <w:trHeight w:val="230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Settore appalto</w:t>
            </w:r>
          </w:p>
        </w:tc>
        <w:tc>
          <w:tcPr>
            <w:tcW w:w="103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 settori ordinari  □ settori speciali (art.10 – da 115 a 121)</w:t>
            </w:r>
          </w:p>
        </w:tc>
      </w:tr>
      <w:tr w:rsidR="000B0ACB">
        <w:trPr>
          <w:trHeight w:val="121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39"/>
        </w:trPr>
        <w:tc>
          <w:tcPr>
            <w:tcW w:w="4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Nomina RUP (art. 31 – Linee guida 3/2016)</w:t>
            </w:r>
          </w:p>
        </w:tc>
        <w:tc>
          <w:tcPr>
            <w:tcW w:w="103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Dati identificativi ed estremi atto nomina</w:t>
            </w:r>
          </w:p>
        </w:tc>
      </w:tr>
      <w:tr w:rsidR="000B0ACB">
        <w:trPr>
          <w:trHeight w:val="124"/>
        </w:trPr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:rsidR="000B0ACB" w:rsidRDefault="000B0ACB">
      <w:pPr>
        <w:spacing w:line="368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E - VERIFICA TIPO DI PROCEDURA ADOTTATA</w:t>
      </w:r>
    </w:p>
    <w:p w:rsidR="000B0ACB" w:rsidRDefault="000B0ACB">
      <w:pPr>
        <w:spacing w:line="21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E1. AFFIDAMENTO DI FORNITURE</w:t>
      </w:r>
    </w:p>
    <w:p w:rsidR="000B0ACB" w:rsidRDefault="000B0ACB">
      <w:pPr>
        <w:spacing w:line="2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0B0ACB" w:rsidRDefault="000B0ACB">
      <w:pPr>
        <w:spacing w:line="193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54635"/>
            <wp:effectExtent l="19050" t="0" r="6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Procedura aperta (art. 60) (procedura ordinaria)</w:t>
      </w:r>
    </w:p>
    <w:p w:rsidR="000B0ACB" w:rsidRDefault="000B0ACB">
      <w:pPr>
        <w:spacing w:line="278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54635"/>
            <wp:effectExtent l="1905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Procedura ristretta (art. 61) (procedura ordinaria)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6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140" w:right="6440"/>
        <w:rPr>
          <w:rFonts w:ascii="Arial" w:eastAsia="Arial" w:hAnsi="Arial"/>
          <w:b/>
        </w:rPr>
      </w:pPr>
      <w:r>
        <w:rPr>
          <w:rFonts w:ascii="Arial" w:eastAsia="Arial" w:hAnsi="Arial"/>
          <w:b/>
          <w:highlight w:val="white"/>
        </w:rPr>
        <w:t xml:space="preserve">Procedura competitiva con negoziazione (art. 62), consentita nei seguenti casi (con </w:t>
      </w:r>
      <w:r>
        <w:rPr>
          <w:rFonts w:ascii="Arial" w:eastAsia="Arial" w:hAnsi="Arial"/>
          <w:b/>
        </w:rPr>
        <w:t>motivazione):</w:t>
      </w:r>
    </w:p>
    <w:p w:rsidR="000B0ACB" w:rsidRDefault="000B0ACB">
      <w:pPr>
        <w:spacing w:line="24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5"/>
        </w:numPr>
        <w:tabs>
          <w:tab w:val="left" w:pos="745"/>
        </w:tabs>
        <w:spacing w:line="257" w:lineRule="auto"/>
        <w:ind w:left="420" w:right="6440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0B0ACB" w:rsidRDefault="000B0ACB">
      <w:pPr>
        <w:spacing w:line="10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6"/>
        </w:numPr>
        <w:tabs>
          <w:tab w:val="left" w:pos="699"/>
        </w:tabs>
        <w:spacing w:line="253" w:lineRule="auto"/>
        <w:ind w:left="420" w:right="6440" w:hanging="1"/>
        <w:jc w:val="both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0B0ACB" w:rsidRDefault="000B0ACB">
      <w:pPr>
        <w:spacing w:line="117" w:lineRule="exact"/>
        <w:rPr>
          <w:rFonts w:ascii="Arial" w:eastAsia="Arial" w:hAnsi="Arial"/>
          <w:b/>
          <w:sz w:val="19"/>
        </w:rPr>
      </w:pPr>
    </w:p>
    <w:p w:rsidR="000B0ACB" w:rsidRDefault="000B0ACB" w:rsidP="000B0ACB">
      <w:pPr>
        <w:numPr>
          <w:ilvl w:val="1"/>
          <w:numId w:val="6"/>
        </w:numPr>
        <w:tabs>
          <w:tab w:val="left" w:pos="721"/>
        </w:tabs>
        <w:spacing w:line="238" w:lineRule="auto"/>
        <w:ind w:left="420" w:right="6440" w:hanging="1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0B0ACB" w:rsidRDefault="000B0ACB">
      <w:pPr>
        <w:spacing w:line="138" w:lineRule="exact"/>
        <w:rPr>
          <w:rFonts w:ascii="Arial" w:eastAsia="Arial" w:hAnsi="Arial"/>
          <w:b/>
        </w:rPr>
      </w:pPr>
    </w:p>
    <w:p w:rsidR="000B0ACB" w:rsidRDefault="000B0ACB">
      <w:pPr>
        <w:spacing w:line="234" w:lineRule="auto"/>
        <w:ind w:left="420" w:right="6320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0B0ACB" w:rsidRDefault="000B0ACB">
      <w:pPr>
        <w:spacing w:line="129" w:lineRule="exact"/>
        <w:rPr>
          <w:rFonts w:ascii="Arial" w:eastAsia="Arial" w:hAnsi="Arial"/>
          <w:b/>
        </w:rPr>
      </w:pPr>
    </w:p>
    <w:p w:rsidR="000B0ACB" w:rsidRDefault="000B0ACB">
      <w:pPr>
        <w:spacing w:line="236" w:lineRule="auto"/>
        <w:ind w:left="420" w:right="63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sono </w:t>
      </w:r>
      <w:r>
        <w:rPr>
          <w:rFonts w:ascii="Arial" w:eastAsia="Arial" w:hAnsi="Arial"/>
          <w:b/>
          <w:u w:val="single"/>
        </w:rPr>
        <w:t>considerate irregolari</w:t>
      </w:r>
      <w:r>
        <w:rPr>
          <w:rFonts w:ascii="Arial" w:eastAsia="Arial" w:hAnsi="Arial"/>
          <w:b/>
        </w:rPr>
        <w:t xml:space="preserve"> le offerte (art. 59, comma 3):</w:t>
      </w:r>
    </w:p>
    <w:p w:rsidR="000B0ACB" w:rsidRDefault="000B0ACB">
      <w:pPr>
        <w:spacing w:line="236" w:lineRule="auto"/>
        <w:ind w:left="420" w:right="6320"/>
        <w:rPr>
          <w:rFonts w:ascii="Arial" w:eastAsia="Arial" w:hAnsi="Arial"/>
          <w:b/>
        </w:rPr>
        <w:sectPr w:rsidR="000B0ACB">
          <w:pgSz w:w="16840" w:h="11906" w:orient="landscape"/>
          <w:pgMar w:top="702" w:right="1018" w:bottom="156" w:left="1280" w:header="0" w:footer="0" w:gutter="0"/>
          <w:cols w:space="0" w:equalWidth="0">
            <w:col w:w="14540"/>
          </w:cols>
          <w:docGrid w:linePitch="360"/>
        </w:sectPr>
      </w:pPr>
    </w:p>
    <w:p w:rsidR="000B0ACB" w:rsidRDefault="000B0ACB">
      <w:pPr>
        <w:spacing w:line="28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04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8</w:t>
      </w:r>
    </w:p>
    <w:p w:rsidR="000B0ACB" w:rsidRDefault="000B0ACB">
      <w:pPr>
        <w:spacing w:line="0" w:lineRule="atLeast"/>
        <w:ind w:left="1304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1018" w:bottom="156" w:left="1280" w:header="0" w:footer="0" w:gutter="0"/>
          <w:cols w:space="0" w:equalWidth="0">
            <w:col w:w="14540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2" w:name="page10"/>
      <w:bookmarkEnd w:id="12"/>
    </w:p>
    <w:p w:rsidR="000B0ACB" w:rsidRDefault="000B0AC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9"/>
        </w:rPr>
        <w:pict>
          <v:line id="_x0000_s1037" style="position:absolute;z-index:-251695104" from="461.4pt,9.45pt" to="461.4pt,27.7pt" o:userdrawn="t" strokeweight=".72pt"/>
        </w:pict>
      </w:r>
      <w:r>
        <w:rPr>
          <w:rFonts w:ascii="Arial" w:eastAsia="Arial" w:hAnsi="Arial"/>
          <w:b/>
          <w:sz w:val="19"/>
        </w:rPr>
        <w:pict>
          <v:line id="_x0000_s1038" style="position:absolute;z-index:-251694080" from="461.05pt,27.35pt" to="487.35pt,27.35pt" o:userdrawn="t" strokeweight=".72pt"/>
        </w:pict>
      </w:r>
      <w:r>
        <w:rPr>
          <w:rFonts w:ascii="Arial" w:eastAsia="Arial" w:hAnsi="Arial"/>
          <w:b/>
          <w:sz w:val="19"/>
        </w:rPr>
        <w:pict>
          <v:line id="_x0000_s1039" style="position:absolute;z-index:-251693056" from="487pt,9.45pt" to="487pt,27.7pt" o:userdrawn="t" strokeweight=".72pt"/>
        </w:pict>
      </w:r>
      <w:r>
        <w:rPr>
          <w:rFonts w:ascii="Arial" w:eastAsia="Arial" w:hAnsi="Arial"/>
          <w:b/>
          <w:sz w:val="19"/>
        </w:rPr>
        <w:pict>
          <v:line id="_x0000_s1040" style="position:absolute;z-index:-251692032" from="461.05pt,9.8pt" to="487.35pt,9.8pt" o:userdrawn="t" strokeweight=".72pt"/>
        </w:pict>
      </w:r>
    </w:p>
    <w:p w:rsidR="000B0ACB" w:rsidRDefault="000B0ACB">
      <w:pPr>
        <w:spacing w:line="18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7"/>
        </w:numPr>
        <w:tabs>
          <w:tab w:val="left" w:pos="517"/>
        </w:tabs>
        <w:spacing w:line="236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sono state ricevute in ritardo rispetto ai termini indicati nel bando o nell’invito con cui si indice la gara;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-226695</wp:posOffset>
            </wp:positionV>
            <wp:extent cx="6819265" cy="5829935"/>
            <wp:effectExtent l="19050" t="0" r="635" b="0"/>
            <wp:wrapNone/>
            <wp:docPr id="21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582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0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0B0ACB" w:rsidRDefault="000B0ACB">
      <w:pPr>
        <w:spacing w:line="2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8"/>
        </w:numPr>
        <w:tabs>
          <w:tab w:val="left" w:pos="533"/>
        </w:tabs>
        <w:spacing w:line="282" w:lineRule="auto"/>
        <w:ind w:left="280" w:right="589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0B0ACB" w:rsidRDefault="000B0ACB">
      <w:pPr>
        <w:spacing w:line="8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9"/>
        </w:numPr>
        <w:tabs>
          <w:tab w:val="left" w:pos="546"/>
        </w:tabs>
        <w:spacing w:line="236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il cui prezzo supera l’importo posto dall’amministrazione aggiudicatrice a base di gara, stabilito e documentato prima dell’avvio della procedura di appalto.</w:t>
      </w:r>
    </w:p>
    <w:p w:rsidR="000B0ACB" w:rsidRDefault="000B0ACB">
      <w:pPr>
        <w:spacing w:line="12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8" w:lineRule="auto"/>
        <w:ind w:left="280" w:right="589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4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right="58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senza previa pubblicazione di un bando di gara (art. 63), consentita nei seguenti casi (con motivazione):</w:t>
      </w:r>
    </w:p>
    <w:p w:rsidR="000B0ACB" w:rsidRDefault="000B0ACB">
      <w:pPr>
        <w:spacing w:line="3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5" w:lineRule="auto"/>
        <w:ind w:left="280" w:right="587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0B0ACB" w:rsidRDefault="000B0ACB">
      <w:pPr>
        <w:spacing w:line="12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le forniture possono essere fornite unicamente da un determinato operatore economico per una delle seguenti ragioni (art. 63, comma 2, lettera b):</w:t>
      </w:r>
    </w:p>
    <w:p w:rsidR="000B0ACB" w:rsidRDefault="000B0ACB">
      <w:pPr>
        <w:spacing w:line="129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0"/>
        </w:numPr>
        <w:tabs>
          <w:tab w:val="left" w:pos="525"/>
        </w:tabs>
        <w:spacing w:line="234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lo scopo dell’appalto consiste nella creazione o nell’acquisizione di un’opera d’arte o rappresentazione artistica unica;</w:t>
      </w:r>
    </w:p>
    <w:p w:rsidR="000B0ACB" w:rsidRDefault="000B0ACB">
      <w:pPr>
        <w:spacing w:line="12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0B0ACB" w:rsidRDefault="000B0ACB">
      <w:pPr>
        <w:spacing w:line="12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8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nella misura strettamente necessaria quando, per ragioni di estrema urgenza derivante da eventi imprevedibili dall’amministrazione aggiudicatrice, i termini per le procedure aperte o per le procedure ristrette o per le procedure competitive con negoziazione non possono essere rispettati (art. 63, comma 2, lettera c)</w:t>
      </w:r>
    </w:p>
    <w:p w:rsidR="000B0ACB" w:rsidRDefault="000B0ACB">
      <w:pPr>
        <w:spacing w:line="237" w:lineRule="auto"/>
        <w:ind w:left="280" w:right="5878" w:hanging="1"/>
        <w:rPr>
          <w:rFonts w:ascii="Arial" w:eastAsia="Arial" w:hAnsi="Arial"/>
          <w:b/>
        </w:rPr>
        <w:sectPr w:rsidR="000B0ACB">
          <w:pgSz w:w="16840" w:h="11906" w:orient="landscape"/>
          <w:pgMar w:top="710" w:right="1440" w:bottom="156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18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90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9</w:t>
      </w:r>
    </w:p>
    <w:p w:rsidR="000B0ACB" w:rsidRDefault="000B0ACB">
      <w:pPr>
        <w:spacing w:line="0" w:lineRule="atLeast"/>
        <w:ind w:left="12900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10" w:right="1440" w:bottom="156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3" w:name="page11"/>
      <w:bookmarkEnd w:id="1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26496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116840</wp:posOffset>
            </wp:positionV>
            <wp:extent cx="6819265" cy="5586730"/>
            <wp:effectExtent l="19050" t="0" r="635" b="0"/>
            <wp:wrapNone/>
            <wp:docPr id="20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80" w:right="585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qualora i prodotti oggetto dell’appalto siano fabbricati esclusivamente a scopo di ricerca, di sperimentazione, di studio o di sviluppo, salvo che non si tratti di produzione in quantità volta ad accertare la redditività commerciale del prodotto o ad ammortizzare i costi di ricerca e di sviluppo (art. 63, comma 3, lettera a)</w:t>
      </w:r>
    </w:p>
    <w:p w:rsidR="000B0ACB" w:rsidRDefault="000B0ACB">
      <w:pPr>
        <w:spacing w:line="1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8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nel caso di consegne complementari effettuate dal fornitore originario e destinate al rinnovo parziale di forniture o di impianti o all’ampliamento di forniture o impianti esistenti, qualora il cambiamento di fornitore obblighi l’amministrazione aggiudicatrice ad acquistare forniture con caratteristiche tecniche differenti, il cui impiego o la cui manutenzione comporterebbero incompatibilità o difficoltà tecniche sproporzionate; la durata di tali contratti e dei contratti rinnovabili non può comunque di regola superare i tre anni (art. 63, comma 3, lettera b)</w:t>
      </w: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585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forniture quotate e acquistate sul mercato delle materie prime (art. 63, comma 3, lettera c)</w:t>
      </w:r>
    </w:p>
    <w:p w:rsidR="000B0ACB" w:rsidRDefault="000B0ACB">
      <w:pPr>
        <w:spacing w:line="1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l’acquisto di forniture o servizi a condizioni particolarmente vantaggiose, da un fornitore che cessa definitivamente l’attività commerciale oppure dagli organi delle procedure concorsuali (art. 63, comma 3, lettera d)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0B0ACB" w:rsidRDefault="000B0ACB">
      <w:pPr>
        <w:spacing w:line="28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587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forniture di importo inferiore a 40.000 euro, mediante affidamento diretto (art. 36, comma 2, lettera a)</w:t>
      </w:r>
    </w:p>
    <w:p w:rsidR="000B0ACB" w:rsidRDefault="000B0ACB">
      <w:pPr>
        <w:spacing w:line="2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4" w:lineRule="auto"/>
        <w:ind w:left="280" w:right="585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per forniture di importo pari o superiore a 40.000 euro e inferiore alla soglia massima di Euro 135.000 – se la stazione appaltante è un’amministrazione centrale (Presidenza del Consiglio dei Ministri, Ministeri e Consip) – ovvero inferiore alla soglia massima di Euro 209.000 – per le amministrazioni aggiudicatrici non governative, mediante procedura negoziata (art. 36, comma 2, lettera b) (cinque inviti).</w:t>
      </w:r>
    </w:p>
    <w:p w:rsidR="000B0ACB" w:rsidRDefault="000B0ACB">
      <w:pPr>
        <w:spacing w:line="254" w:lineRule="auto"/>
        <w:ind w:left="280" w:right="5858" w:hanging="1"/>
        <w:rPr>
          <w:rFonts w:ascii="Arial" w:eastAsia="Arial" w:hAnsi="Arial"/>
          <w:b/>
          <w:sz w:val="19"/>
        </w:rPr>
        <w:sectPr w:rsidR="000B0ACB"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1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10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  <w:sz w:val="19"/>
        </w:rPr>
      </w:pPr>
      <w:bookmarkStart w:id="14" w:name="page12"/>
      <w:bookmarkEnd w:id="14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669925</wp:posOffset>
            </wp:positionV>
            <wp:extent cx="6819265" cy="5033010"/>
            <wp:effectExtent l="19050" t="0" r="635" b="0"/>
            <wp:wrapNone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5033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7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E2. AFFIDAMENTO DI LAVORI</w:t>
      </w:r>
    </w:p>
    <w:p w:rsidR="000B0ACB" w:rsidRDefault="000B0ACB">
      <w:pPr>
        <w:spacing w:line="2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0B0ACB" w:rsidRDefault="000B0ACB">
      <w:pPr>
        <w:spacing w:line="193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341630"/>
            <wp:effectExtent l="1905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Procedura aperta (art. 60) (procedura ordinaria)</w:t>
      </w:r>
    </w:p>
    <w:p w:rsidR="000B0ACB" w:rsidRDefault="000B0ACB">
      <w:pPr>
        <w:spacing w:line="35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341630"/>
            <wp:effectExtent l="19050" t="0" r="635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Procedura ristretta (art. 61) (procedura ordinaria)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2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140" w:right="6018"/>
        <w:rPr>
          <w:rFonts w:ascii="Arial" w:eastAsia="Arial" w:hAnsi="Arial"/>
          <w:b/>
        </w:rPr>
      </w:pPr>
      <w:r>
        <w:rPr>
          <w:rFonts w:ascii="Arial" w:eastAsia="Arial" w:hAnsi="Arial"/>
          <w:b/>
          <w:highlight w:val="white"/>
        </w:rPr>
        <w:t xml:space="preserve">Procedura competitiva con negoziazione (art. 62), consentita nei seguenti casi (con </w:t>
      </w:r>
      <w:r>
        <w:rPr>
          <w:rFonts w:ascii="Arial" w:eastAsia="Arial" w:hAnsi="Arial"/>
          <w:b/>
        </w:rPr>
        <w:t>motivazione):</w:t>
      </w:r>
    </w:p>
    <w:p w:rsidR="000B0ACB" w:rsidRDefault="000B0ACB">
      <w:pPr>
        <w:spacing w:line="2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0B0ACB" w:rsidRDefault="000B0ACB">
      <w:pPr>
        <w:spacing w:line="125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11"/>
        </w:numPr>
        <w:tabs>
          <w:tab w:val="left" w:pos="745"/>
        </w:tabs>
        <w:spacing w:line="257" w:lineRule="auto"/>
        <w:ind w:left="420" w:right="601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0B0ACB" w:rsidRDefault="000B0ACB">
      <w:pPr>
        <w:spacing w:line="10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12"/>
        </w:numPr>
        <w:tabs>
          <w:tab w:val="left" w:pos="699"/>
        </w:tabs>
        <w:spacing w:line="255" w:lineRule="auto"/>
        <w:ind w:left="420" w:right="6018" w:hanging="1"/>
        <w:jc w:val="both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0B0ACB" w:rsidRDefault="000B0ACB">
      <w:pPr>
        <w:spacing w:line="112" w:lineRule="exact"/>
        <w:rPr>
          <w:rFonts w:ascii="Arial" w:eastAsia="Arial" w:hAnsi="Arial"/>
          <w:b/>
          <w:sz w:val="19"/>
        </w:rPr>
      </w:pPr>
    </w:p>
    <w:p w:rsidR="000B0ACB" w:rsidRDefault="000B0ACB" w:rsidP="000B0ACB">
      <w:pPr>
        <w:numPr>
          <w:ilvl w:val="1"/>
          <w:numId w:val="12"/>
        </w:numPr>
        <w:tabs>
          <w:tab w:val="left" w:pos="721"/>
        </w:tabs>
        <w:spacing w:line="238" w:lineRule="auto"/>
        <w:ind w:left="420" w:right="6018" w:hanging="1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0B0ACB" w:rsidRDefault="000B0ACB">
      <w:pPr>
        <w:spacing w:line="258" w:lineRule="exact"/>
        <w:rPr>
          <w:rFonts w:ascii="Arial" w:eastAsia="Arial" w:hAnsi="Arial"/>
          <w:b/>
        </w:rPr>
      </w:pPr>
    </w:p>
    <w:p w:rsidR="000B0ACB" w:rsidRDefault="000B0ACB">
      <w:pPr>
        <w:spacing w:line="236" w:lineRule="auto"/>
        <w:ind w:left="42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0B0ACB" w:rsidRDefault="000B0ACB">
      <w:pPr>
        <w:spacing w:line="246" w:lineRule="exact"/>
        <w:rPr>
          <w:rFonts w:ascii="Arial" w:eastAsia="Arial" w:hAnsi="Arial"/>
          <w:b/>
        </w:rPr>
      </w:pPr>
    </w:p>
    <w:p w:rsidR="000B0ACB" w:rsidRDefault="000B0ACB">
      <w:pPr>
        <w:spacing w:line="236" w:lineRule="auto"/>
        <w:ind w:left="420" w:right="58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sono </w:t>
      </w:r>
      <w:r>
        <w:rPr>
          <w:rFonts w:ascii="Arial" w:eastAsia="Arial" w:hAnsi="Arial"/>
          <w:b/>
          <w:u w:val="single"/>
        </w:rPr>
        <w:t>considerate irregolari</w:t>
      </w:r>
      <w:r>
        <w:rPr>
          <w:rFonts w:ascii="Arial" w:eastAsia="Arial" w:hAnsi="Arial"/>
          <w:b/>
        </w:rPr>
        <w:t xml:space="preserve"> le offerte (art. 59, comma 3):</w:t>
      </w:r>
    </w:p>
    <w:p w:rsidR="000B0ACB" w:rsidRDefault="000B0ACB">
      <w:pPr>
        <w:spacing w:line="1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pict>
          <v:line id="_x0000_s1044" style="position:absolute;z-index:-251687936" from="456.8pt,-9.85pt" to="456.8pt,8.45pt" o:userdrawn="t" strokeweight=".72pt"/>
        </w:pict>
      </w:r>
      <w:r>
        <w:rPr>
          <w:rFonts w:ascii="Arial" w:eastAsia="Arial" w:hAnsi="Arial"/>
          <w:b/>
        </w:rPr>
        <w:pict>
          <v:line id="_x0000_s1045" style="position:absolute;z-index:-251686912" from="456.4pt,8.1pt" to="482.7pt,8.1pt" o:userdrawn="t" strokeweight=".72pt"/>
        </w:pict>
      </w:r>
      <w:r>
        <w:rPr>
          <w:rFonts w:ascii="Arial" w:eastAsia="Arial" w:hAnsi="Arial"/>
          <w:b/>
        </w:rPr>
        <w:pict>
          <v:line id="_x0000_s1046" style="position:absolute;z-index:-251685888" from="482.35pt,-9.85pt" to="482.35pt,8.45pt" o:userdrawn="t" strokeweight=".72pt"/>
        </w:pict>
      </w:r>
      <w:r>
        <w:rPr>
          <w:rFonts w:ascii="Arial" w:eastAsia="Arial" w:hAnsi="Arial"/>
          <w:b/>
        </w:rPr>
        <w:pict>
          <v:line id="_x0000_s1047" style="position:absolute;z-index:-251684864" from="456.4pt,-9.5pt" to="482.7pt,-9.5pt" o:userdrawn="t" strokeweight=".72pt"/>
        </w:pict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10" w:right="1440" w:bottom="167" w:left="1280" w:header="0" w:footer="0" w:gutter="0"/>
          <w:cols w:space="0" w:equalWidth="0">
            <w:col w:w="1411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92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11</w:t>
      </w:r>
    </w:p>
    <w:p w:rsidR="000B0ACB" w:rsidRDefault="000B0ACB">
      <w:pPr>
        <w:spacing w:line="0" w:lineRule="atLeast"/>
        <w:ind w:left="1292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280" w:header="0" w:footer="0" w:gutter="0"/>
          <w:cols w:space="0" w:equalWidth="0">
            <w:col w:w="1411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5" w:name="page13"/>
      <w:bookmarkEnd w:id="15"/>
    </w:p>
    <w:p w:rsidR="000B0ACB" w:rsidRDefault="000B0ACB">
      <w:pPr>
        <w:spacing w:line="209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3"/>
        </w:numPr>
        <w:tabs>
          <w:tab w:val="left" w:pos="517"/>
        </w:tabs>
        <w:spacing w:line="236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sono state ricevute in ritardo rispetto ai termini indicati nel bando o nell’invito con cui si indice la gara;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-128270</wp:posOffset>
            </wp:positionV>
            <wp:extent cx="6819265" cy="5412740"/>
            <wp:effectExtent l="19050" t="0" r="635" b="0"/>
            <wp:wrapNone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5412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0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0B0ACB" w:rsidRDefault="000B0ACB">
      <w:pPr>
        <w:spacing w:line="2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4"/>
        </w:numPr>
        <w:tabs>
          <w:tab w:val="left" w:pos="533"/>
        </w:tabs>
        <w:spacing w:line="284" w:lineRule="auto"/>
        <w:ind w:left="280" w:right="589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0B0ACB" w:rsidRDefault="000B0ACB">
      <w:pPr>
        <w:spacing w:line="8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5"/>
        </w:numPr>
        <w:tabs>
          <w:tab w:val="left" w:pos="546"/>
        </w:tabs>
        <w:spacing w:line="236" w:lineRule="auto"/>
        <w:ind w:left="280" w:right="589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il cui prezzo supera l’importo posto dall’amministrazione aggiudicatrice a base di gara, stabilito e documentato prima dell’avvio della procedura di appalto.</w:t>
      </w:r>
    </w:p>
    <w:p w:rsidR="000B0ACB" w:rsidRDefault="000B0ACB">
      <w:pPr>
        <w:spacing w:line="12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8" w:lineRule="auto"/>
        <w:ind w:left="280" w:right="589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0B0ACB" w:rsidRDefault="000B0ACB">
      <w:pPr>
        <w:spacing w:line="36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  <w:highlight w:val="white"/>
        </w:rPr>
        <w:t xml:space="preserve">Procedura negoziata senza previa pubblicazione di un bando di gara (art. 63), </w:t>
      </w:r>
      <w:r>
        <w:rPr>
          <w:rFonts w:ascii="Arial" w:eastAsia="Arial" w:hAnsi="Arial"/>
          <w:b/>
        </w:rPr>
        <w:t>consentita nei seguenti casi (con motivazione):</w:t>
      </w:r>
    </w:p>
    <w:p w:rsidR="000B0ACB" w:rsidRDefault="000B0ACB">
      <w:pPr>
        <w:spacing w:line="3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6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0B0ACB" w:rsidRDefault="000B0ACB">
      <w:pPr>
        <w:spacing w:line="10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i lavori possono essere forniti unicamente da un determinato operatore economico per una delle seguenti ragioni (art. 63, comma 2, lettera b):</w:t>
      </w:r>
    </w:p>
    <w:p w:rsidR="000B0ACB" w:rsidRDefault="000B0ACB">
      <w:pPr>
        <w:spacing w:line="12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601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1) lo scopo dell’appalto consiste nella creazione o nell’acquisizione di un’opera d’arte o rappresentazione artistica unica;</w:t>
      </w:r>
    </w:p>
    <w:p w:rsidR="000B0ACB" w:rsidRDefault="000B0ACB">
      <w:pPr>
        <w:spacing w:line="1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0B0ACB" w:rsidRDefault="000B0ACB">
      <w:pPr>
        <w:spacing w:line="12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0B0ACB" w:rsidRDefault="000B0ACB">
      <w:pPr>
        <w:spacing w:line="1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3" w:lineRule="auto"/>
        <w:ind w:left="280" w:right="603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nella misura strettamente necessaria quando, per ragioni di estrema urgenza derivante da eventi imprevedibili dall’amministrazione aggiudicatrice, i termini per le procedure aperte o per le procedure ristrette o per le procedure competitive con negoziazione non possono essere rispettati (art. 63, comma 2, lettera c)</w:t>
      </w:r>
    </w:p>
    <w:p w:rsidR="000B0ACB" w:rsidRDefault="000B0ACB">
      <w:pPr>
        <w:spacing w:line="11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6" w:lineRule="auto"/>
        <w:ind w:left="280" w:right="6038" w:hanging="1"/>
        <w:jc w:val="righ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nuovi lavori consistenti nella ripetizione di lavori analoghi, già affidati all’operatore economico  aggiudicatario  dell’appalto  iniziale  dalle  medesime  amministrazioni aggiudicatrici, a condizione che tali lavori siano conformi al progetto a base di gara e</w:t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8"/>
        </w:rPr>
        <w:pict>
          <v:line id="_x0000_s1049" style="position:absolute;z-index:-251682816" from="451pt,-37.6pt" to="451pt,-19.25pt" o:userdrawn="t" strokeweight=".72pt"/>
        </w:pict>
      </w:r>
      <w:r>
        <w:rPr>
          <w:rFonts w:ascii="Arial" w:eastAsia="Arial" w:hAnsi="Arial"/>
          <w:b/>
          <w:sz w:val="18"/>
        </w:rPr>
        <w:pict>
          <v:line id="_x0000_s1050" style="position:absolute;z-index:-251681792" from="450.6pt,-19.6pt" to="476.9pt,-19.6pt" o:userdrawn="t" strokeweight=".72pt"/>
        </w:pict>
      </w:r>
      <w:r>
        <w:rPr>
          <w:rFonts w:ascii="Arial" w:eastAsia="Arial" w:hAnsi="Arial"/>
          <w:b/>
          <w:sz w:val="18"/>
        </w:rPr>
        <w:pict>
          <v:line id="_x0000_s1051" style="position:absolute;z-index:-251680768" from="476.55pt,-37.6pt" to="476.55pt,-19.25pt" o:userdrawn="t" strokeweight=".72pt"/>
        </w:pict>
      </w:r>
      <w:r>
        <w:rPr>
          <w:rFonts w:ascii="Arial" w:eastAsia="Arial" w:hAnsi="Arial"/>
          <w:b/>
          <w:sz w:val="18"/>
        </w:rPr>
        <w:pict>
          <v:line id="_x0000_s1052" style="position:absolute;z-index:-251679744" from="450.6pt,-37.25pt" to="476.9pt,-37.25pt" o:userdrawn="t" strokeweight=".72pt"/>
        </w:pict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12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6" w:name="page14"/>
      <w:bookmarkEnd w:id="16"/>
    </w:p>
    <w:p w:rsidR="000B0ACB" w:rsidRDefault="000B0ACB">
      <w:pPr>
        <w:spacing w:line="20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tale progetto sia stato oggetto di un primo appalto aggiudicato secondo una procedura di cui all’articolo 59, comma 1 (art. 63, comma 5)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250190</wp:posOffset>
            </wp:positionV>
            <wp:extent cx="6819265" cy="5033010"/>
            <wp:effectExtent l="19050" t="0" r="635" b="0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65" cy="5033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0B0ACB" w:rsidRDefault="000B0ACB">
      <w:pPr>
        <w:spacing w:line="28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inferiore a 40.000 euro, mediante affidamento diretto (art. 36, comma 2, lettera a)</w:t>
      </w:r>
    </w:p>
    <w:p w:rsidR="000B0ACB" w:rsidRDefault="000B0ACB">
      <w:pPr>
        <w:spacing w:line="20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pari o superiore a 40.000 euro e inferiore a 150.000 euro, mediante procedura negoziata (art. 36, comma 2, lettera b) (dieci inviti)</w:t>
      </w:r>
    </w:p>
    <w:p w:rsidR="000B0ACB" w:rsidRDefault="000B0ACB">
      <w:pPr>
        <w:spacing w:line="1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4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di importo pari o superiore a 150.000 euro e inferiore a 1.000.000 di euro, mediante procedura negoziata (art. 36, comma 2, lettera c) (quindici inviti)</w:t>
      </w:r>
    </w:p>
    <w:p w:rsidR="000B0ACB" w:rsidRDefault="000B0ACB">
      <w:pPr>
        <w:spacing w:line="13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lavori eseguiti in amministrazione diretta, di importo inferiore a 150.000 euro, fatto salvo l’acquisto e il noleggio di mezzi, per i quali si applica comunque la procedura negoziata semplificata (art. 36, comma 2, lettere a-b)</w:t>
      </w:r>
    </w:p>
    <w:p w:rsidR="000B0ACB" w:rsidRDefault="000B0ACB">
      <w:pPr>
        <w:spacing w:line="237" w:lineRule="auto"/>
        <w:ind w:left="280" w:right="6018" w:hanging="1"/>
        <w:rPr>
          <w:rFonts w:ascii="Arial" w:eastAsia="Arial" w:hAnsi="Arial"/>
          <w:b/>
        </w:rPr>
        <w:sectPr w:rsidR="000B0ACB"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13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ind w:left="20"/>
        <w:rPr>
          <w:rFonts w:ascii="Arial" w:eastAsia="Arial" w:hAnsi="Arial"/>
          <w:b/>
          <w:sz w:val="19"/>
        </w:rPr>
      </w:pPr>
      <w:bookmarkStart w:id="17" w:name="page15"/>
      <w:bookmarkEnd w:id="17"/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0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E3 - AFFIDAMENTO DI SERVIZI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4"/>
          <w:u w:val="single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63500</wp:posOffset>
            </wp:positionV>
            <wp:extent cx="7440930" cy="5575935"/>
            <wp:effectExtent l="19050" t="0" r="7620" b="0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930" cy="557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7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Procedure Utilizzabili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92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381635"/>
            <wp:effectExtent l="19050" t="0" r="635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>Procedura aperta (art. 60) (procedura ordinaria)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ristretta (art. 61) (procedura ordinaria)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1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0" w:right="615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Procedura </w:t>
      </w:r>
      <w:r>
        <w:rPr>
          <w:rFonts w:ascii="Arial" w:eastAsia="Arial" w:hAnsi="Arial"/>
          <w:b/>
          <w:highlight w:val="white"/>
        </w:rPr>
        <w:t>competitiva con negoziazione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highlight w:val="white"/>
        </w:rPr>
        <w:t>(art. 62), consentita nei seguenti casi (con</w:t>
      </w:r>
      <w:r>
        <w:rPr>
          <w:rFonts w:ascii="Arial" w:eastAsia="Arial" w:hAnsi="Arial"/>
          <w:b/>
        </w:rPr>
        <w:t xml:space="preserve"> motivazione):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presenza di una o più delle seguenti condizioni (art. 59, comma 2, lettera a):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6"/>
        </w:numPr>
        <w:tabs>
          <w:tab w:val="left" w:pos="713"/>
        </w:tabs>
        <w:spacing w:line="257" w:lineRule="auto"/>
        <w:ind w:left="420" w:right="6158" w:hanging="6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le esigenze dell’amministrazione aggiudicatrice perseguite con l’appalto non possono essere soddisfatte senza adattare soluzioni immediatamente disponibili;</w:t>
      </w:r>
    </w:p>
    <w:p w:rsidR="000B0ACB" w:rsidRDefault="000B0ACB">
      <w:pPr>
        <w:spacing w:line="10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implicano progettazione o soluzioni innovative;</w:t>
      </w:r>
    </w:p>
    <w:p w:rsidR="000B0ACB" w:rsidRDefault="000B0ACB">
      <w:pPr>
        <w:spacing w:line="126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17"/>
        </w:numPr>
        <w:tabs>
          <w:tab w:val="left" w:pos="675"/>
        </w:tabs>
        <w:spacing w:line="276" w:lineRule="auto"/>
        <w:ind w:left="420" w:right="6158" w:hanging="6"/>
        <w:jc w:val="both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l’appalto non può essere aggiudicato senza preventive negoziazioni a causa di circostanze particolari in relazione alla natura, complessità o impostazione finanziaria e giuridica dell’oggetto dell’appalto o a causa dei rischi a esso connessi;</w:t>
      </w:r>
    </w:p>
    <w:p w:rsidR="000B0ACB" w:rsidRDefault="000B0ACB">
      <w:pPr>
        <w:spacing w:line="97" w:lineRule="exact"/>
        <w:rPr>
          <w:rFonts w:ascii="Arial" w:eastAsia="Arial" w:hAnsi="Arial"/>
          <w:b/>
          <w:sz w:val="18"/>
        </w:rPr>
      </w:pPr>
    </w:p>
    <w:p w:rsidR="000B0ACB" w:rsidRDefault="000B0ACB" w:rsidP="000B0ACB">
      <w:pPr>
        <w:numPr>
          <w:ilvl w:val="1"/>
          <w:numId w:val="17"/>
        </w:numPr>
        <w:tabs>
          <w:tab w:val="left" w:pos="693"/>
        </w:tabs>
        <w:spacing w:line="237" w:lineRule="auto"/>
        <w:ind w:left="420" w:right="6158" w:hanging="6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specifiche tecniche non possono essere stabilite con sufficiente precisione dall’amministrazione aggiudicatrice con riferimento a una norma, una valutazione tecnica europea, una specifica tecnica comune o un riferimento tecnico ai sensi dei punti da 2 a 5 dell’allegato XIII;</w:t>
      </w:r>
    </w:p>
    <w:p w:rsidR="000B0ACB" w:rsidRDefault="000B0ACB">
      <w:pPr>
        <w:spacing w:line="140" w:lineRule="exact"/>
        <w:rPr>
          <w:rFonts w:ascii="Arial" w:eastAsia="Arial" w:hAnsi="Arial"/>
          <w:b/>
        </w:rPr>
      </w:pPr>
    </w:p>
    <w:p w:rsidR="000B0ACB" w:rsidRDefault="000B0ACB">
      <w:pPr>
        <w:spacing w:line="236" w:lineRule="auto"/>
        <w:ind w:left="300" w:right="603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i quali, in esito a una procedura aperta o ristretta, sono state presentate soltanto offerte irregolari o inammissibili (art. 59, comma 2, lettera b).</w:t>
      </w:r>
    </w:p>
    <w:p w:rsidR="000B0ACB" w:rsidRDefault="000B0ACB">
      <w:pPr>
        <w:spacing w:line="128" w:lineRule="exact"/>
        <w:rPr>
          <w:rFonts w:ascii="Arial" w:eastAsia="Arial" w:hAnsi="Arial"/>
          <w:b/>
        </w:rPr>
      </w:pPr>
    </w:p>
    <w:p w:rsidR="000B0ACB" w:rsidRDefault="000B0ACB">
      <w:pPr>
        <w:spacing w:line="236" w:lineRule="auto"/>
        <w:ind w:left="300" w:right="603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Fermo restando quanto previsto all’articolo 83, comma 9, </w:t>
      </w:r>
      <w:r>
        <w:rPr>
          <w:rFonts w:ascii="Arial" w:eastAsia="Arial" w:hAnsi="Arial"/>
          <w:b/>
          <w:u w:val="single"/>
        </w:rPr>
        <w:t>sono considerate irregolari</w:t>
      </w:r>
      <w:r>
        <w:rPr>
          <w:rFonts w:ascii="Arial" w:eastAsia="Arial" w:hAnsi="Arial"/>
          <w:b/>
        </w:rPr>
        <w:t xml:space="preserve"> le offerte (art. 59, comma 3):</w:t>
      </w:r>
    </w:p>
    <w:p w:rsidR="000B0ACB" w:rsidRDefault="000B0ACB">
      <w:pPr>
        <w:spacing w:line="1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3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a) che non rispettano i documenti di gara;</w:t>
      </w:r>
    </w:p>
    <w:p w:rsidR="000B0ACB" w:rsidRDefault="000B0ACB">
      <w:pPr>
        <w:spacing w:line="126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8"/>
        </w:numPr>
        <w:tabs>
          <w:tab w:val="left" w:pos="555"/>
        </w:tabs>
        <w:spacing w:line="236" w:lineRule="auto"/>
        <w:ind w:left="300" w:right="603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che sono state ricevute in ritardo rispetto ai termini indicati nel bando o nell’invito con cui si indice la gara;</w:t>
      </w:r>
    </w:p>
    <w:p w:rsidR="000B0ACB" w:rsidRDefault="000B0ACB">
      <w:pPr>
        <w:tabs>
          <w:tab w:val="left" w:pos="555"/>
        </w:tabs>
        <w:spacing w:line="236" w:lineRule="auto"/>
        <w:ind w:left="300" w:right="6038" w:hanging="1"/>
        <w:rPr>
          <w:rFonts w:ascii="Arial" w:eastAsia="Arial" w:hAnsi="Arial"/>
          <w:b/>
        </w:rPr>
        <w:sectPr w:rsidR="000B0ACB">
          <w:pgSz w:w="16840" w:h="11906" w:orient="landscape"/>
          <w:pgMar w:top="710" w:right="1440" w:bottom="167" w:left="1400" w:header="0" w:footer="0" w:gutter="0"/>
          <w:cols w:space="0" w:equalWidth="0">
            <w:col w:w="13998"/>
          </w:cols>
          <w:docGrid w:linePitch="360"/>
        </w:sectPr>
      </w:pPr>
    </w:p>
    <w:p w:rsidR="000B0ACB" w:rsidRDefault="000B0ACB">
      <w:pPr>
        <w:spacing w:line="17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80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14</w:t>
      </w:r>
    </w:p>
    <w:p w:rsidR="000B0ACB" w:rsidRDefault="000B0ACB">
      <w:pPr>
        <w:spacing w:line="0" w:lineRule="atLeast"/>
        <w:ind w:left="1280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00" w:header="0" w:footer="0" w:gutter="0"/>
          <w:cols w:space="0" w:equalWidth="0">
            <w:col w:w="1399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8" w:name="page16"/>
      <w:bookmarkEnd w:id="1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116840</wp:posOffset>
            </wp:positionV>
            <wp:extent cx="7440930" cy="5895975"/>
            <wp:effectExtent l="19050" t="0" r="7620" b="0"/>
            <wp:wrapNone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930" cy="589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1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c) che l’amministrazione aggiudicatrice ha giudicato anormalmente basse.</w:t>
      </w:r>
    </w:p>
    <w:p w:rsidR="000B0ACB" w:rsidRDefault="000B0ACB">
      <w:pPr>
        <w:spacing w:line="11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Sono </w:t>
      </w:r>
      <w:r>
        <w:rPr>
          <w:rFonts w:ascii="Arial" w:eastAsia="Arial" w:hAnsi="Arial"/>
          <w:b/>
          <w:u w:val="single"/>
        </w:rPr>
        <w:t>considerate inammissibili</w:t>
      </w:r>
      <w:r>
        <w:rPr>
          <w:rFonts w:ascii="Arial" w:eastAsia="Arial" w:hAnsi="Arial"/>
          <w:b/>
        </w:rPr>
        <w:t xml:space="preserve"> le offerte (art. 59, comma 4):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19"/>
        </w:numPr>
        <w:tabs>
          <w:tab w:val="left" w:pos="519"/>
        </w:tabs>
        <w:spacing w:line="284" w:lineRule="auto"/>
        <w:ind w:left="280" w:right="603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in relazione alle quali la commissione giudicatrice ritenga sussistenti gli estremi per informativa alla Procura della Repubblica per reati di corruzione o fenomeni collusivi;</w:t>
      </w:r>
    </w:p>
    <w:p w:rsidR="000B0ACB" w:rsidRDefault="000B0ACB">
      <w:pPr>
        <w:spacing w:line="8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b) che non hanno la qualificazione necessaria;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0"/>
        </w:numPr>
        <w:tabs>
          <w:tab w:val="left" w:pos="534"/>
        </w:tabs>
        <w:spacing w:line="257" w:lineRule="auto"/>
        <w:ind w:left="280" w:right="603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il cui prezzo supera l’importo posto dall’amministrazione aggiudicatrice a base di gara, stabilito e documentato prima dell’avvio della procedura di appalto.</w:t>
      </w:r>
    </w:p>
    <w:p w:rsidR="000B0ACB" w:rsidRDefault="000B0ACB">
      <w:pPr>
        <w:spacing w:line="11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8" w:lineRule="auto"/>
        <w:ind w:left="280" w:right="603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tali situazioni, le amministrazioni aggiudicatrici non sono tenute a pubblicare un bando di gara se includono nella ulteriore procedura tutti, e soltanto, gli offerenti in possesso dei requisiti di cui agli articoli dal 80 al 90 che, nella procedura aperta o ristretta precedente, hanno presentato offerte conformi ai requisiti formali della procedura di appalto.</w:t>
      </w:r>
    </w:p>
    <w:p w:rsidR="000B0ACB" w:rsidRDefault="000B0ACB">
      <w:pPr>
        <w:spacing w:line="36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right="599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senza previa pubblicazione di un bando di gara (art. 63), consentita nei seguenti casi (con motivazione):</w:t>
      </w:r>
    </w:p>
    <w:p w:rsidR="000B0ACB" w:rsidRDefault="000B0ACB">
      <w:pPr>
        <w:spacing w:line="3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4" w:lineRule="auto"/>
        <w:ind w:left="400" w:right="593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qualora non sia stata presentata alcuna offerta o alcuna offerta appropriata, né alcuna domanda di partecipazione o alcuna domanda di partecipazione appropriata, in esito all’esperimento di una procedura aperta o ristretta (art. 63, comma 2, lettera a)</w:t>
      </w:r>
    </w:p>
    <w:p w:rsidR="000B0ACB" w:rsidRDefault="000B0ACB">
      <w:pPr>
        <w:spacing w:line="10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400" w:right="593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quando le forniture possono essere fornite unicamente da un determinato operatore economico per una delle seguenti ragioni (art. 63, comma 2, lettera b):</w:t>
      </w:r>
    </w:p>
    <w:p w:rsidR="000B0ACB" w:rsidRDefault="000B0ACB">
      <w:pPr>
        <w:spacing w:line="12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21"/>
        </w:numPr>
        <w:tabs>
          <w:tab w:val="left" w:pos="645"/>
        </w:tabs>
        <w:spacing w:line="236" w:lineRule="auto"/>
        <w:ind w:left="400" w:right="5938" w:hanging="6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lo scopo dell’appalto consiste nella creazione o nell’acquisizione di un’opera d’arte o rappresentazione artistica unica;</w:t>
      </w:r>
    </w:p>
    <w:p w:rsidR="000B0ACB" w:rsidRDefault="000B0ACB">
      <w:pPr>
        <w:spacing w:line="1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2) la concorrenza è assente per motivi tecnici;</w:t>
      </w:r>
    </w:p>
    <w:p w:rsidR="000B0ACB" w:rsidRDefault="000B0ACB">
      <w:pPr>
        <w:spacing w:line="11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4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3) la tutela di diritti esclusivi, inclusi i diritti di proprietà intellettuale</w:t>
      </w:r>
    </w:p>
    <w:p w:rsidR="000B0ACB" w:rsidRDefault="000B0ACB">
      <w:pPr>
        <w:spacing w:line="25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4" w:lineRule="auto"/>
        <w:ind w:left="400" w:right="5938" w:hanging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nella misura strettamente necessaria quando, per ragioni di estrema urgenza derivante da eventi imprevedibili dall’amministrazione aggiudicatrice, i termini per le procedure aperte o per le procedure ristrette o per le procedure competitive con negoziazione non possono essere rispettati (art. 63, comma 2, lettera c)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qualora l’appalto faccia seguito ad un concorso di progettazione e debba, in base alle norme applicabili, essere aggiudicato al vincitore o ad uno dei vincitori del concorso (art. 63, comma 4)</w:t>
      </w:r>
    </w:p>
    <w:p w:rsidR="000B0ACB" w:rsidRDefault="000B0ACB">
      <w:pPr>
        <w:spacing w:line="237" w:lineRule="auto"/>
        <w:ind w:left="280" w:right="6018" w:hanging="1"/>
        <w:rPr>
          <w:rFonts w:ascii="Arial" w:eastAsia="Arial" w:hAnsi="Arial"/>
          <w:b/>
        </w:rPr>
        <w:sectPr w:rsidR="000B0ACB"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8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15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bookmarkStart w:id="19" w:name="page17"/>
      <w:bookmarkEnd w:id="1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116840</wp:posOffset>
            </wp:positionV>
            <wp:extent cx="9877425" cy="5586730"/>
            <wp:effectExtent l="19050" t="0" r="9525" b="0"/>
            <wp:wrapNone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42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0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nuovi servizi consistenti nella ripetizione di servizi analoghi, già affidati all’operatore economico aggiudicatario dell’appalto iniziale dalle medesime amministrazioni aggiudicatrici, a condizione che tali servizi siano conformi al progetto a base di gara e che tale progetto sia stato oggetto di un primo appalto aggiudicato secondo una procedura di cui all’articolo 59, comma 1 (art. 63, comma 5)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4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Procedura negoziata semplificata sotto soglia (con motivazione):</w:t>
      </w:r>
    </w:p>
    <w:p w:rsidR="000B0ACB" w:rsidRDefault="000B0ACB">
      <w:pPr>
        <w:spacing w:line="34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4" w:lineRule="auto"/>
        <w:ind w:left="280" w:right="6018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 servizi (tutti) di importo inferiore a 40.000 euro, mediante affidamento diretto (art. 36, comma 2, lettera a)</w:t>
      </w:r>
    </w:p>
    <w:p w:rsidR="000B0ACB" w:rsidRDefault="000B0ACB">
      <w:pPr>
        <w:spacing w:line="2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0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servizi (tranne tecnici) di importo pari o superiore a 40.000 euro e inferiore alla soglia massima di euro 135.000 – se la stazione appaltante è un’amministrazione centrale (Presidenza del Consiglio dei Ministri, Ministeri e Consip) – ovvero alla soglia massima di euro 209.000 – per le amministrazioni aggiudicatrici non governative, mediante procedura negoziata (art. 36, comma 2, lettera b) (cinque inviti)</w:t>
      </w:r>
    </w:p>
    <w:p w:rsidR="000B0ACB" w:rsidRDefault="000B0ACB">
      <w:pPr>
        <w:spacing w:line="11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3" w:lineRule="auto"/>
        <w:ind w:left="280" w:right="6018" w:hanging="1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per servizi di progettazione, di coordinamento della sicurezza in fase di progettazione, di direzione dei lavori, di coordinamento della sicurezza in fase di esecuzione e di collaudo di importo pari o superiori a 40.000 euro e inferiore a 100.000 euro, mediante procedura negoziata ex art. 36, comma 2, lettera b) (art. 157, comma 2) (cinque inviti)</w:t>
      </w:r>
    </w:p>
    <w:p w:rsidR="000B0ACB" w:rsidRDefault="000B0ACB">
      <w:pPr>
        <w:spacing w:line="273" w:lineRule="auto"/>
        <w:ind w:left="280" w:right="6018" w:hanging="1"/>
        <w:rPr>
          <w:rFonts w:ascii="Arial" w:eastAsia="Arial" w:hAnsi="Arial"/>
          <w:b/>
          <w:sz w:val="18"/>
        </w:rPr>
        <w:sectPr w:rsidR="000B0ACB"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16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bookmarkStart w:id="20" w:name="page18"/>
      <w:bookmarkEnd w:id="20"/>
    </w:p>
    <w:p w:rsidR="000B0ACB" w:rsidRDefault="000B0ACB">
      <w:pPr>
        <w:spacing w:line="19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Indice checklist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1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2"/>
        </w:numPr>
        <w:tabs>
          <w:tab w:val="left" w:pos="2128"/>
        </w:tabs>
        <w:spacing w:line="284" w:lineRule="auto"/>
        <w:ind w:left="1420" w:right="2758" w:hanging="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- Checklist - PROCEDURA NEGOZIATA SEMPLIFICATA SOTTO SOGLIA (art. 36) G - Checklist - PROCEDURA COMPETITIVA CON NEGOZIAZIONE (art. 62)</w:t>
      </w:r>
    </w:p>
    <w:p w:rsidR="000B0ACB" w:rsidRDefault="000B0ACB">
      <w:pPr>
        <w:spacing w:line="10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0" w:lineRule="atLeast"/>
        <w:ind w:left="142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4"/>
        </w:rPr>
        <w:t>H</w:t>
      </w:r>
      <w:r>
        <w:rPr>
          <w:rFonts w:ascii="Arial" w:eastAsia="Arial" w:hAnsi="Arial"/>
          <w:b/>
          <w:sz w:val="23"/>
        </w:rPr>
        <w:t>- Checklist - PROCEDURA NEGOZIATA SENZA PUBBLICAZIONE DI BANDO DI GARA (art. 63)</w:t>
      </w:r>
    </w:p>
    <w:p w:rsidR="000B0ACB" w:rsidRDefault="000B0ACB">
      <w:pPr>
        <w:spacing w:line="60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0" w:lineRule="atLeast"/>
        <w:ind w:left="142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4"/>
        </w:rPr>
        <w:t>I</w:t>
      </w:r>
      <w:r>
        <w:rPr>
          <w:rFonts w:ascii="Arial" w:eastAsia="Arial" w:hAnsi="Arial"/>
          <w:b/>
          <w:sz w:val="23"/>
        </w:rPr>
        <w:t>- Checklist - PROCEDURA RISTRETTA (art. 61)</w:t>
      </w:r>
    </w:p>
    <w:p w:rsidR="000B0ACB" w:rsidRDefault="000B0ACB">
      <w:pPr>
        <w:spacing w:line="60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0" w:lineRule="atLeast"/>
        <w:ind w:left="142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4"/>
        </w:rPr>
        <w:t>L</w:t>
      </w:r>
      <w:r>
        <w:rPr>
          <w:rFonts w:ascii="Arial" w:eastAsia="Arial" w:hAnsi="Arial"/>
          <w:b/>
          <w:sz w:val="23"/>
        </w:rPr>
        <w:t>- Checklist - PROCEDURA APERTA (art. 60)</w:t>
      </w:r>
    </w:p>
    <w:p w:rsidR="000B0ACB" w:rsidRDefault="000B0ACB">
      <w:pPr>
        <w:spacing w:line="68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284" w:lineRule="auto"/>
        <w:ind w:left="1420" w:right="2818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M - Checklist - SERVIZI ATTINENTI ALL’ARCHITETTURA E INGEGNERIA (art. 157) N - Checklist - AFFIDAMENTI IN HOUSE (artt. 5 e 192)</w:t>
      </w:r>
    </w:p>
    <w:p w:rsidR="000B0ACB" w:rsidRDefault="000B0ACB">
      <w:pPr>
        <w:spacing w:line="10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0" w:lineRule="atLeast"/>
        <w:ind w:left="142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4"/>
        </w:rPr>
        <w:t>0</w:t>
      </w:r>
      <w:r>
        <w:rPr>
          <w:rFonts w:ascii="Arial" w:eastAsia="Arial" w:hAnsi="Arial"/>
          <w:b/>
          <w:sz w:val="23"/>
        </w:rPr>
        <w:t>- Checklist - ESECUZIONE DEL CONTRATTO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23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1778635</wp:posOffset>
            </wp:positionH>
            <wp:positionV relativeFrom="paragraph">
              <wp:posOffset>-1612265</wp:posOffset>
            </wp:positionV>
            <wp:extent cx="4954270" cy="5033010"/>
            <wp:effectExtent l="19050" t="0" r="0" b="0"/>
            <wp:wrapNone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70" cy="5033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8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17</w:t>
      </w:r>
    </w:p>
    <w:p w:rsidR="000B0ACB" w:rsidRDefault="000B0ACB">
      <w:pPr>
        <w:spacing w:line="0" w:lineRule="atLeast"/>
        <w:ind w:left="1278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1440" w:bottom="167" w:left="1420" w:header="0" w:footer="0" w:gutter="0"/>
          <w:cols w:space="0" w:equalWidth="0">
            <w:col w:w="13978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1" w:name="page19"/>
      <w:bookmarkEnd w:id="2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417830</wp:posOffset>
            </wp:positionV>
            <wp:extent cx="10077450" cy="5831840"/>
            <wp:effectExtent l="19050" t="0" r="0" b="0"/>
            <wp:wrapNone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583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97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F – Checklist – AFFIDAMENTO DIRETTO E PROCEDURA NEGOZIATA SEMPLIFICATA SOTTO SOGLIA</w:t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906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41"/>
        </w:trPr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4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  NP  Doc.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46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4"/>
        </w:trPr>
        <w:tc>
          <w:tcPr>
            <w:tcW w:w="984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(motivazione nel decreto o determina di indizione)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78"/>
        </w:trPr>
        <w:tc>
          <w:tcPr>
            <w:tcW w:w="984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11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n.1/2016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 casi di lavori, l'importo è inferiore a 1.000.000 euro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93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nel caso di forniture e servizi (no tecnici), l’importo è inferiore a 135.000 euro (se stazione appaltante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un’autorità governativa centrale) o inferiore a 209.000 (per tutte le altre stazioni appaltanti)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nel caso di servizi di progettazione, di coordinamento della sicurezza in fase di progettazione,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direzione dei lavori, di coordinamento della sicurezza in fase di esecuzione e di collaudo, l’importo è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inferiore a 100.000 euro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4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A4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nel caso di forniture e servizi (inferiori soglia) e lavori manutenzione (inferiori 1.000.000 €), questi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223" w:lineRule="exac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Norme di spending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sono reperibili attraverso CONSIP o MEPA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review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5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0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A5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la procedura utilizzata non rappresenta un frazionamento artificioso di un appalto sopra soglia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3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A6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3"/>
        </w:trPr>
        <w:tc>
          <w:tcPr>
            <w:tcW w:w="9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459"/>
        </w:trPr>
        <w:tc>
          <w:tcPr>
            <w:tcW w:w="9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 - TIPOLOGIA - AFFIDAMENTO DIRETTO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 caso di lavori l’importo è inferiore a 40.000 euro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 caso di forniture e servizi (tutti), l’importo è inferiore a 40.000 euro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31, c. 8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B3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affidamento  diretto  senza  confronto  concorrenziale  con  motivazione,  nel  rispetto  dei  principi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9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(economicità,  efficacia,  tempestività,  correttezza,  libera  concorrenza,  non  discriminazione,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trasparenza, proporzionalità, pubblicità, rotazione affidamenti)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B4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affidamento diretto previo confronto concorrenziale, con due o più operatori economici, nel rispetto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dei  principi  (economicità,  efficacia,  tempestività,  correttezza,  libera   concorrenza,  non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15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18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906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bookmarkStart w:id="22" w:name="page20"/>
            <w:bookmarkEnd w:id="22"/>
          </w:p>
        </w:tc>
        <w:tc>
          <w:tcPr>
            <w:tcW w:w="1504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</w:p>
        </w:tc>
      </w:tr>
      <w:tr w:rsidR="000B0ACB">
        <w:trPr>
          <w:trHeight w:val="200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2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discriminazione, trasparenza, proporzionalità, pubblicità, rotazione inviti)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7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gli operatori economici sono stati selezionati da elenchi pubblici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gli operatori economici sono stati selezionati sulla base di indagine di mercato su avviso pubblico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gli operatori economici sono stati selezionati sulla base di altra tipologia di indagine di mercato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(specificare)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B5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presenza richiesta di preventivo/presentazione offerta e individuazione dell’operatore economico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B6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valutazione di congruità economica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B7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verifica su aggiudicatario requisiti generali (DURC, Casellario impresa e singoli soggetti in carica 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80, 81, 82 e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cessati o soggetti in carica su operazioni di trasformazione societaria, regolarità fiscale, regolarità</w:t>
            </w:r>
          </w:p>
        </w:tc>
        <w:tc>
          <w:tcPr>
            <w:tcW w:w="1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83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disabili), requisiti di idoneità professionale (visura camerale) e requisiti speciali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6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9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6/2016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B8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di ordinazione/contratto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9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B9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accettazione dell’operatore economico (contratto per scambio corrispondenza)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B10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rispetto della normativa sulla tracciabilità dei flussi finanziari (presenza CIG su documentazione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gara, contratto e strumenti di pagamento)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462"/>
        </w:trPr>
        <w:tc>
          <w:tcPr>
            <w:tcW w:w="9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 - TIPOLOGIA – PROCEDURA NEGOZIATA SEMPLIFICATA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stato rispettato il limite di importo: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30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lavori: importo pari o superiore a 40.000 e inferiore a 150.000 euro (almeno dieci inviti);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b</w:t>
            </w:r>
          </w:p>
        </w:tc>
      </w:tr>
      <w:tr w:rsidR="000B0ACB">
        <w:trPr>
          <w:trHeight w:val="305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lavori: importo pari o superiore a 150.000 e inferiore a 1.000.000 euro (almeno quindici inviti);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c</w:t>
            </w:r>
          </w:p>
        </w:tc>
      </w:tr>
      <w:tr w:rsidR="000B0ACB">
        <w:trPr>
          <w:trHeight w:val="30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forniture e servizi (no tecnici): importo pari o superiore a 40.000 e inferiore a 135.000 euro (se la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b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stazione appaltante è un’autorità governativa centrale) oppure pari o superiore a 40.000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inferiore a 209.000 euro (per tutte le altre stazioni appaltanti) (almeno cinque inviti)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31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servizi progettazione, coordinamento sicurezza in fase di progettazione, direzione dei lavori,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2</w:t>
            </w:r>
          </w:p>
        </w:tc>
      </w:tr>
      <w:tr w:rsidR="000B0ACB">
        <w:trPr>
          <w:trHeight w:val="22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3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coordinamento sicurezza in fase di esecuzione e collaudo, importo pari o superiore a 40.000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6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inferiore a 100.000 euro (almeno cinque inviti)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1/2016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C2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gli operatori economici sono stati selezionati da elenchi pubblici istituiti in modo conforme alla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normativa (regolamento interno, adeguata pubblicità, senza limiti temporali, proporzionalità)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6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C3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gli operatori economici sono stati selezionati sulla base di indagine di mercato su avviso pubblico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9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-6082030</wp:posOffset>
            </wp:positionV>
            <wp:extent cx="10077450" cy="6095365"/>
            <wp:effectExtent l="19050" t="0" r="0" b="0"/>
            <wp:wrapNone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609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21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19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3" w:name="page21"/>
      <w:bookmarkEnd w:id="2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077450" cy="6090920"/>
            <wp:effectExtent l="19050" t="0" r="0" b="0"/>
            <wp:wrapNone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609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6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760"/>
        <w:gridCol w:w="20"/>
        <w:gridCol w:w="60"/>
        <w:gridCol w:w="5020"/>
        <w:gridCol w:w="396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44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8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conforme alla normativa (regolamento interno, adeguata pubblicità, contenuto avviso conforme,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960" w:type="dxa"/>
            <w:gridSpan w:val="11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23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durata avviso 15 giorni o 5 se urgenza, criteri selezione o sorteggio)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gli operatori economici sono stati selezionati sulla base di altra tipologia di indagine di mercato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(specificare)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è stato rispettato il numero minimo di operatori da invitare (cinque per servizi e forniture – dieci per 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b</w:t>
            </w:r>
          </w:p>
        </w:tc>
      </w:tr>
      <w:tr w:rsidR="000B0ACB">
        <w:trPr>
          <w:trHeight w:val="236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lavori di importo compreso tra 40.000 e 150.000 – quindici per i lavori di importo compreso tra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2 lett. c</w:t>
            </w:r>
          </w:p>
        </w:tc>
      </w:tr>
      <w:tr w:rsidR="000B0ACB">
        <w:trPr>
          <w:trHeight w:val="22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150.000 e 1.000.000 euro)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rispettata la pubblicità degli avvisi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</w:t>
            </w:r>
          </w:p>
        </w:tc>
      </w:tr>
      <w:tr w:rsidR="000B0ACB">
        <w:trPr>
          <w:trHeight w:val="2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2.12.2016)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invito inviata simultaneamente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contenuto dell'invito è conforme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9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 termini previsti per la presentazione dell'offerta sono conformi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le offerte sono pervenute nei termini previsti dalla lettera di invito e soddisfano i requisiti di forma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contenuto previsti dal Codice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delle offerte con il criterio del prezzo più basso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11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può essere utilizzato tale criterio e c’è motivazione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PER I LAVORI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Parere ANAC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in ogni caso deve esserci progetto esecutivo a base di gara;</w:t>
            </w:r>
          </w:p>
        </w:tc>
        <w:tc>
          <w:tcPr>
            <w:tcW w:w="1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23.6.2017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- fino a 1 milione, possibile il prezzo più basso e possibile esclusione automatica offerte anomale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applicando l’art. 97 commi 2 e 8;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PER SERVIZI E FORNITURE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per qualsiasi importo, servizi e forniture standardizzate o le cui condizioni sono definite dal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mercato;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fino a 40.000, servizi e forniture di qualunque tipo (compresi servizi sociali, ristorazione, alta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intensità manodopera, senza ripetitività, tecnologici o innovativi);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- da 40.000 alle soglie, servizi e forniture con elevata ripetitività eccetto quelle con notevole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contenuto tecnologico o carattere innovativo.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presenza e completezza del verbale (riferimenti procedura, seduta pubblica, elenco invitati 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pervenute, esito esame documentazione amministrativa, esclusioni e ammissioni, graduatoria,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22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20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4" w:name="page22"/>
      <w:bookmarkEnd w:id="24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077450" cy="6136640"/>
            <wp:effectExtent l="19050" t="0" r="0" b="0"/>
            <wp:wrapNone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613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20"/>
        <w:gridCol w:w="904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correttezza della valutazione del prezzo (offerte inferiori base di gara, non condizionate, non parziali,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verifica eventuali calcoli composizione prezzo offerto)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svolgimento della verifica in contraddittorio delle offerte anomale (a cura del RUP o di apposita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 – 97 c. 2</w:t>
            </w:r>
          </w:p>
        </w:tc>
      </w:tr>
      <w:tr w:rsidR="000B0ACB">
        <w:trPr>
          <w:trHeight w:val="285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esclusione automatica delle offerte anomale, solo se prevista nella lettera invito e se ci sono almeno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97, c. 8</w:t>
            </w:r>
          </w:p>
        </w:tc>
      </w:tr>
      <w:tr w:rsidR="000B0ACB">
        <w:trPr>
          <w:trHeight w:val="230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dieci offerte (a cura del RUP o del Seggio di gara o della Commissione di gara)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concernenti l’adempimento delle disposizioni in materia di salute e sicurezza sui luoghi di lavoro (no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nelle forniture senza posa in opera, servizi di natura intellettuale e degli affidamenti sotto 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 (nel verbale)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 e 76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 due giorni per pubblicazione su sito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29</w:t>
            </w:r>
          </w:p>
        </w:tc>
      </w:tr>
      <w:tr w:rsidR="000B0ACB">
        <w:trPr>
          <w:trHeight w:val="109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36, c. 5 e 6</w:t>
            </w:r>
          </w:p>
        </w:tc>
      </w:tr>
      <w:tr w:rsidR="000B0ACB">
        <w:trPr>
          <w:trHeight w:val="28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</w:t>
            </w:r>
          </w:p>
        </w:tc>
      </w:tr>
      <w:tr w:rsidR="000B0ACB">
        <w:trPr>
          <w:trHeight w:val="29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requisiti generali (DURC, Casellario impresa e singoli soggetti in carica o cessati o soggetti in carica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6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6/2016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3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7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7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9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15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21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5" w:name="page23"/>
      <w:bookmarkEnd w:id="25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077450" cy="6078855"/>
            <wp:effectExtent l="19050" t="0" r="0" b="0"/>
            <wp:wrapNone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6078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20"/>
        <w:gridCol w:w="60"/>
        <w:gridCol w:w="6200"/>
        <w:gridCol w:w="60"/>
        <w:gridCol w:w="2140"/>
        <w:gridCol w:w="58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dell'esito della gara (decreto MIT 2.12.2016)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importo, tracciabilità)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7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22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0" w:type="dxa"/>
            <w:gridSpan w:val="3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221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400" w:type="dxa"/>
            <w:gridSpan w:val="3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79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C9.16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6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6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39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selezione delle offerte con il criterio del miglior rapporto qualità/prezzo (art. 95 c. 3, 6 e 8)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sz w:val="28"/>
              </w:rPr>
            </w:pPr>
            <w:r>
              <w:rPr>
                <w:rFonts w:ascii="Arial" w:eastAsia="Arial" w:hAnsi="Arial"/>
                <w:b/>
                <w:sz w:val="28"/>
              </w:rPr>
              <w:t>□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0"/>
              <w:rPr>
                <w:rFonts w:ascii="Arial" w:eastAsia="Arial" w:hAnsi="Arial"/>
                <w:b/>
                <w:sz w:val="28"/>
              </w:rPr>
            </w:pPr>
            <w:r>
              <w:rPr>
                <w:rFonts w:ascii="Arial" w:eastAsia="Arial" w:hAnsi="Arial"/>
                <w:b/>
                <w:sz w:val="28"/>
              </w:rPr>
              <w:t>□</w:t>
            </w: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2/2016</w:t>
            </w:r>
          </w:p>
        </w:tc>
      </w:tr>
      <w:tr w:rsidR="000B0ACB">
        <w:trPr>
          <w:trHeight w:val="21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400" w:type="dxa"/>
            <w:gridSpan w:val="3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sulla base del prezzo o costo fisso in base a criteri qualitativi (art. 95 c.7)</w:t>
            </w:r>
          </w:p>
        </w:tc>
        <w:tc>
          <w:tcPr>
            <w:tcW w:w="5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96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14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400" w:type="dxa"/>
            <w:gridSpan w:val="3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1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atto di nomina commissione giudicatrice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77 e 78</w:t>
            </w: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5/2016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dei criteri di nomina secondo regole di competenza e trasparenza preventivamente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29, 42, 77, 78</w:t>
            </w:r>
          </w:p>
        </w:tc>
      </w:tr>
      <w:tr w:rsidR="000B0ACB">
        <w:trPr>
          <w:trHeight w:val="22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individuate da ciascuna stazione appaltante (termini, composizione e pubblicità) e delle dichiarazioni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 216 c. 12</w:t>
            </w: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sull’assenza del conflitto d’interesse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presenza e completezza del verbale (riferimenti procedura, seduta pubblica, elenco invitati 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pervenute, esito esame documentazione amministrativa, esclusioni e ammissioni, graduatoria,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correttezza  della  valutazione  dell'offerta  tecnica  (rispetto  elementi  e  rispettivi  parametri 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valutazione, esame sistema prescelto, eventuale correttezza dei metodi di riparametrazione)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6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2/2016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correttezza  della  valutazione  dell'offerta  economica  (solo  per  miglior  rapporto  qualità/prezzo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altrimenti è fisso) (offerte inferiori base di gara, non condizionate, non parziali, verifica eventuali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calcoli composizione prezzo offerto)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5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svolgimento della verifica in contraddittorio delle offerte anomale (da parte del RUP con il supporto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3</w:t>
            </w:r>
          </w:p>
        </w:tc>
      </w:tr>
      <w:tr w:rsidR="000B0ACB">
        <w:trPr>
          <w:trHeight w:val="22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6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gridSpan w:val="11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concernenti l’adempimento delle disposizioni in materia di salute e sicurezza sui luoghi di lavoro (no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nelle forniture senza posa in opera, servizi di natura intellettuale e degli affidamenti sotto 40.000 €).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24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22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6" w:name="page24"/>
      <w:bookmarkEnd w:id="26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077450" cy="6057265"/>
            <wp:effectExtent l="19050" t="0" r="0" b="0"/>
            <wp:wrapNone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6057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9080"/>
        <w:gridCol w:w="596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C10.7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C10.8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 (nel verbale)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C10.9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 due giorni per pubblicazione su sito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29</w:t>
            </w:r>
          </w:p>
        </w:tc>
      </w:tr>
      <w:tr w:rsidR="000B0ACB">
        <w:trPr>
          <w:trHeight w:val="23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C10.10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36, c. 5 e 6</w:t>
            </w: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requisiti generali (DURC, Casellario impresa e singoli soggetti in carica o cessati o soggetti in carica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 operazioni di trasformazione societaria, regolarità fiscale, regolarità disabili)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guida ANAC n.</w:t>
            </w:r>
          </w:p>
        </w:tc>
      </w:tr>
      <w:tr w:rsidR="000B0ACB">
        <w:trPr>
          <w:trHeight w:val="23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6/2016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29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7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7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C10.11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C10.12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C10.13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dell’esito della gara (decreto MIT 2.12.2016)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</w:t>
            </w:r>
          </w:p>
        </w:tc>
      </w:tr>
      <w:tr w:rsidR="000B0ACB">
        <w:trPr>
          <w:trHeight w:val="112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C10.14</w:t>
            </w: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 (solo per lavori di importo pari o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superiore a 150.000 e inferiore a 1.000.000 euro)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</w:tbl>
    <w:p w:rsidR="000B0ACB" w:rsidRDefault="000B0ACB">
      <w:pPr>
        <w:spacing w:line="6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9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art. 32 c. 9</w:t>
      </w:r>
    </w:p>
    <w:p w:rsidR="000B0ACB" w:rsidRDefault="000B0ACB">
      <w:pPr>
        <w:spacing w:line="0" w:lineRule="atLeast"/>
        <w:ind w:left="9920"/>
        <w:rPr>
          <w:rFonts w:ascii="Arial" w:eastAsia="Arial" w:hAnsi="Arial"/>
          <w:b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29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23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7" w:name="page25"/>
      <w:bookmarkEnd w:id="27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077450" cy="5586730"/>
            <wp:effectExtent l="19050" t="0" r="0" b="0"/>
            <wp:wrapNone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80"/>
        <w:gridCol w:w="9060"/>
        <w:gridCol w:w="20"/>
        <w:gridCol w:w="1840"/>
        <w:gridCol w:w="20"/>
        <w:gridCol w:w="420"/>
        <w:gridCol w:w="20"/>
        <w:gridCol w:w="420"/>
        <w:gridCol w:w="20"/>
        <w:gridCol w:w="400"/>
        <w:gridCol w:w="20"/>
        <w:gridCol w:w="580"/>
        <w:gridCol w:w="20"/>
        <w:gridCol w:w="2200"/>
      </w:tblGrid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C10.15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</w:t>
            </w:r>
          </w:p>
        </w:tc>
      </w:tr>
      <w:tr w:rsidR="000B0ACB">
        <w:trPr>
          <w:trHeight w:val="29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6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4/2016</w:t>
            </w:r>
          </w:p>
        </w:tc>
      </w:tr>
      <w:tr w:rsidR="000B0ACB">
        <w:trPr>
          <w:trHeight w:val="283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importo, tracciabilità)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2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</w:t>
            </w:r>
          </w:p>
        </w:tc>
      </w:tr>
      <w:tr w:rsidR="000B0ACB">
        <w:trPr>
          <w:trHeight w:val="109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4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C10.16</w:t>
            </w: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6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28"/>
        </w:trPr>
        <w:tc>
          <w:tcPr>
            <w:tcW w:w="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3"/>
        </w:trPr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1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24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458" w:bottom="167" w:left="560" w:header="0" w:footer="0" w:gutter="0"/>
          <w:cols w:space="0" w:equalWidth="0">
            <w:col w:w="1582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8" w:name="page26"/>
      <w:bookmarkEnd w:id="2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417830</wp:posOffset>
            </wp:positionV>
            <wp:extent cx="10114280" cy="5828665"/>
            <wp:effectExtent l="19050" t="0" r="1270" b="0"/>
            <wp:wrapNone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582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97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G – Checklist - PROCEDURA COMPETITIVA CON NEGOZIAZIONE</w:t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0"/>
        <w:gridCol w:w="9220"/>
        <w:gridCol w:w="1820"/>
        <w:gridCol w:w="4280"/>
      </w:tblGrid>
      <w:tr w:rsidR="000B0ACB">
        <w:trPr>
          <w:trHeight w:val="236"/>
        </w:trPr>
        <w:tc>
          <w:tcPr>
            <w:tcW w:w="5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4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NO   NP  Doc.  NOTE</w:t>
            </w:r>
          </w:p>
        </w:tc>
      </w:tr>
      <w:tr w:rsidR="000B0ACB">
        <w:trPr>
          <w:trHeight w:val="23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</w:tr>
      <w:tr w:rsidR="000B0ACB">
        <w:trPr>
          <w:trHeight w:val="251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6"/>
        </w:trPr>
        <w:tc>
          <w:tcPr>
            <w:tcW w:w="97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(motivazione nella determina di indizione)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59 e 62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78"/>
        </w:trPr>
        <w:tc>
          <w:tcPr>
            <w:tcW w:w="97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246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A1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le  esigenze  dell’amministrazione  aggiudicatrice  perseguite  con  l’appalto  non  possono  essere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 2 lett. a)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soddisfatte senza adattare soluzioni immediatamente disponibili</w:t>
            </w:r>
          </w:p>
        </w:tc>
        <w:tc>
          <w:tcPr>
            <w:tcW w:w="18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1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A2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implicano progettazione o soluzioni innovative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 2 lett. a)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2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A3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l’appalto  non  può  essere  aggiudicato  senza  preventive  negoziazioni  a  causa  di  circostanze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 2 lett. a)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9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particolari in relazione alla natura, complessità o impostazione finanziaria e giuridica dell’oggetto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2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dell’appalto o a causa dei rischi a esso connessi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A4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le specifiche tecniche non possono essere stabilite con sufficiente precisione dall’amministrazione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 2 lett. a)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aggiudicatrice con riferimento a una norma, una valutazione tecnica europea, una specifica tecnica</w:t>
            </w:r>
          </w:p>
        </w:tc>
        <w:tc>
          <w:tcPr>
            <w:tcW w:w="18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4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comune o un riferimento tecnico ai sensi dei punti da 2 a 5 dell’allegato XIII</w:t>
            </w:r>
          </w:p>
        </w:tc>
        <w:tc>
          <w:tcPr>
            <w:tcW w:w="18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68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2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A5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 esito a una procedura aperta o ristretta, sono state presentate soltanto offerte irregolari o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 2 lett. b)</w:t>
            </w: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inammissibili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A6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la procedura utilizzata non rappresenta un frazionamento artificioso di un appalto sopra soglia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A7</w:t>
            </w:r>
          </w:p>
        </w:tc>
        <w:tc>
          <w:tcPr>
            <w:tcW w:w="92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spacing w:line="23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 – AVVISO DI PREINFORMAZIONE (facoltativo)</w:t>
      </w:r>
    </w:p>
    <w:p w:rsidR="000B0ACB" w:rsidRDefault="000B0ACB">
      <w:pPr>
        <w:spacing w:line="312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0"/>
        <w:gridCol w:w="20"/>
        <w:gridCol w:w="9060"/>
        <w:gridCol w:w="20"/>
        <w:gridCol w:w="1960"/>
        <w:gridCol w:w="20"/>
        <w:gridCol w:w="1400"/>
        <w:gridCol w:w="20"/>
        <w:gridCol w:w="2680"/>
      </w:tblGrid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avviso di preinformazione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70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dei contenuti dell’avviso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70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1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16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71</w:t>
            </w:r>
          </w:p>
        </w:tc>
      </w:tr>
      <w:tr w:rsidR="000B0ACB">
        <w:trPr>
          <w:trHeight w:val="238"/>
        </w:trPr>
        <w:tc>
          <w:tcPr>
            <w:tcW w:w="978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 –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4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contenuti del bando conformi alla legge (rispetto bando-tipo Linee guida ANAC)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allegato XIV, Parte I,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lettera C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6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25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29" w:name="page27"/>
      <w:bookmarkEnd w:id="2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114300</wp:posOffset>
            </wp:positionV>
            <wp:extent cx="10114280" cy="6059170"/>
            <wp:effectExtent l="19050" t="0" r="1270" b="0"/>
            <wp:wrapNone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6059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0"/>
        <w:gridCol w:w="20"/>
        <w:gridCol w:w="1060"/>
        <w:gridCol w:w="5020"/>
        <w:gridCol w:w="2980"/>
        <w:gridCol w:w="20"/>
        <w:gridCol w:w="1960"/>
        <w:gridCol w:w="20"/>
        <w:gridCol w:w="1400"/>
        <w:gridCol w:w="20"/>
        <w:gridCol w:w="2680"/>
      </w:tblGrid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conformità dei termini di presentazione delle domande di partecipazione indicati nel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62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bando prevede che la procedura si svolga per fasi successive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62 c. 11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bando prevede un numero massimo di candidati da invitare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91</w:t>
            </w: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n° minimo candidati (tre)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91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modalità di pubblicazione – sopra soglia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72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modalità di pubblicazione – sotto soglia (lavori)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9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modalità di pubblicazione – sotto soglia (forniture e servizi)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36 c. 9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Il bando non è stato pubblicato (le amministrazioni aggiudicatrici non sono tenute a pubblicare un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59 c. 2 lett. b)</w:t>
            </w: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bando di gara se includono nella ulteriore procedura tutti, e soltanto, gli offerenti in possesso dei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requisiti di cui agli articoli dal 80 al 90 che, nella procedura aperta o ristretta precedente, hanno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presentato offerte conformi ai requisiti formali della procedura di appalto)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454"/>
        </w:trPr>
        <w:tc>
          <w:tcPr>
            <w:tcW w:w="97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 – DOMANDE DI PARTECIPAZIONE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domande sono regolari e pervenute nei termini previsti dal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0"/>
        </w:trPr>
        <w:tc>
          <w:tcPr>
            <w:tcW w:w="7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24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454"/>
        </w:trPr>
        <w:tc>
          <w:tcPr>
            <w:tcW w:w="97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 – PRESENTAZIONE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invito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62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contenuto dell'invito è conforme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75 e allegato XV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 termini previsti per la presentazione dell'offerta sono conformi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62 e 36 c. 9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offerte sono pervenute nei termini previsti dalla lettera di invito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62</w:t>
            </w:r>
          </w:p>
        </w:tc>
      </w:tr>
      <w:tr w:rsidR="000B0ACB">
        <w:trPr>
          <w:trHeight w:val="64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454"/>
        </w:trPr>
        <w:tc>
          <w:tcPr>
            <w:tcW w:w="97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 - SELEZIONE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5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selezione delle offerte con il criterio del prezzo più basso</w:t>
            </w:r>
          </w:p>
        </w:tc>
        <w:tc>
          <w:tcPr>
            <w:tcW w:w="2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6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può essere utilizzato tale criterio e c’è motivazione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presenza e completezza del verbale (riferimenti procedura, seduta pubblica, elenco invitati 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2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pervenute, esito esame documentazione amministrativa, esclusioni e ammissioni, graduatoria,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7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26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417" w:lineRule="auto"/>
        <w:ind w:left="780" w:right="5200" w:firstLine="72"/>
        <w:rPr>
          <w:rFonts w:ascii="Arial" w:eastAsia="Arial" w:hAnsi="Arial"/>
          <w:b/>
        </w:rPr>
      </w:pPr>
      <w:bookmarkStart w:id="30" w:name="page28"/>
      <w:bookmarkEnd w:id="30"/>
      <w:r>
        <w:rPr>
          <w:rFonts w:ascii="Arial" w:eastAsia="Arial" w:hAnsi="Arial"/>
          <w:b/>
        </w:rPr>
        <w:lastRenderedPageBreak/>
        <w:t xml:space="preserve"> anomalia offerte, proposta di aggiudicazione)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-251460</wp:posOffset>
            </wp:positionV>
            <wp:extent cx="10114280" cy="6069330"/>
            <wp:effectExtent l="19050" t="0" r="1270" b="0"/>
            <wp:wrapNone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606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0"/>
        <w:gridCol w:w="20"/>
        <w:gridCol w:w="9060"/>
        <w:gridCol w:w="20"/>
        <w:gridCol w:w="1960"/>
        <w:gridCol w:w="20"/>
        <w:gridCol w:w="1400"/>
        <w:gridCol w:w="20"/>
        <w:gridCol w:w="2680"/>
      </w:tblGrid>
      <w:tr w:rsidR="000B0ACB">
        <w:trPr>
          <w:trHeight w:val="222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correttezza della valutazione del prezzo (offerte inferiori base di gara, non condizionate, non parziali,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verifica eventuali calcoli composizione prezzo offerto)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svolgimento della verifica in contraddittorio delle offerte anomale (a cura del RUP o di apposita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– Linee guida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solo per gare di importo inferiore alle soglie europee: possibile esclusione automatica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8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anomale (se prevista su bando e se almeno dieci offerte)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concernenti l’adempimento delle disposizioni in materia di salute e sicurezza sui luoghi di lavoro (no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nelle forniture senza posa in opera, servizi di natura intellettuale e degli affidamenti sotto 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0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F.1.8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7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requisiti generali (DURC, Casellario impresa e singoli soggetti in carica o cessati o soggetti in carica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2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7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10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5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27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1" w:name="page29"/>
      <w:bookmarkEnd w:id="3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114300</wp:posOffset>
            </wp:positionV>
            <wp:extent cx="10114280" cy="6033135"/>
            <wp:effectExtent l="19050" t="0" r="1270" b="0"/>
            <wp:wrapNone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603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0"/>
        <w:gridCol w:w="20"/>
        <w:gridCol w:w="1060"/>
        <w:gridCol w:w="6180"/>
        <w:gridCol w:w="60"/>
        <w:gridCol w:w="1760"/>
        <w:gridCol w:w="20"/>
        <w:gridCol w:w="1960"/>
        <w:gridCol w:w="20"/>
        <w:gridCol w:w="1400"/>
        <w:gridCol w:w="20"/>
        <w:gridCol w:w="2680"/>
      </w:tblGrid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dell'esito della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72 e 98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1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selezione delle offerte con il criterio del miglior rapporto qualità/prezzo (art. 95 c. 3, 6 e 8)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7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  Linee guida ANAC n. 2/2016</w:t>
            </w:r>
          </w:p>
        </w:tc>
      </w:tr>
      <w:tr w:rsidR="000B0ACB">
        <w:trPr>
          <w:trHeight w:val="2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1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3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sulla base del prezzo o costo fisso in base a criteri qualitativi (art. 95 c.7)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□</w:t>
            </w:r>
          </w:p>
        </w:tc>
      </w:tr>
      <w:tr w:rsidR="000B0ACB">
        <w:trPr>
          <w:trHeight w:val="126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24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atto di nomina commissione giudicatrice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77 e 78</w:t>
            </w:r>
          </w:p>
        </w:tc>
      </w:tr>
      <w:tr w:rsidR="000B0ACB">
        <w:trPr>
          <w:trHeight w:val="29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5/2016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dei criteri di nomina secondo regole di competenza e trasparenza preventivamente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29, 42, 77, 78 e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individuate da ciascuna stazione appaltante (termini, composizione e pubblicità) e delle dichiarazioni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12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sull’assenza del conflitto d’interesse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presenza e completezza del verbale (riferimenti procedura, seduta pubblica, elenco invitati 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pervenute, esito esame documentazione amministrativa, esclusioni e ammissioni, graduatoria,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 della  valutazione  dell'offerta  tecnica  (rispetto  elementi  e  rispettivi  parametri 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valutazione, esame sistema prescelto, eventuale correttezza dei metodi di riparametrazione)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correttezza della valutazione dell'offerta economica (solo per miglior rapporto qualità/prezzo) (offerte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inferiori base di gara, non condizionate, non parziali, verifica eventuali calcoli composizione prezzo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offerto)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svolgimento della verifica in contraddittorio delle offerte anomale (da parte del RUP con il supporto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3</w:t>
            </w:r>
          </w:p>
        </w:tc>
      </w:tr>
      <w:tr w:rsidR="000B0ACB">
        <w:trPr>
          <w:trHeight w:val="22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6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80" w:type="dxa"/>
            <w:gridSpan w:val="5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concernenti l’adempimento delle disposizioni in materia di salute e sicurezza sui luoghi di lavoro (no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nelle forniture senza posa in opera, servizi di natura intellettuale e degli affidamenti sotto 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0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F.2.7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7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32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1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28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2" w:name="page30"/>
      <w:bookmarkEnd w:id="32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114300</wp:posOffset>
            </wp:positionV>
            <wp:extent cx="10114280" cy="5592445"/>
            <wp:effectExtent l="19050" t="0" r="1270" b="0"/>
            <wp:wrapNone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559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49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0"/>
        <w:gridCol w:w="20"/>
        <w:gridCol w:w="9060"/>
        <w:gridCol w:w="20"/>
        <w:gridCol w:w="1960"/>
        <w:gridCol w:w="20"/>
        <w:gridCol w:w="1400"/>
        <w:gridCol w:w="20"/>
        <w:gridCol w:w="2680"/>
      </w:tblGrid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1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1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88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requisiti generali (DURC, Casellario impresa e singoli soggetti in carica o cessati o soggetti in carica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102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79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dell’esito della gara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72 e 98</w:t>
            </w:r>
          </w:p>
        </w:tc>
      </w:tr>
      <w:tr w:rsidR="000B0ACB">
        <w:trPr>
          <w:trHeight w:val="253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64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76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1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29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3" w:name="page31"/>
      <w:bookmarkEnd w:id="3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114300</wp:posOffset>
            </wp:positionV>
            <wp:extent cx="9147810" cy="290830"/>
            <wp:effectExtent l="19050" t="0" r="0" b="0"/>
            <wp:wrapNone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H – Checklist - PROCEDURA NEGOZIATA SENZA PUBBLICAZIONE DI BANDO DI GARA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149860</wp:posOffset>
            </wp:positionV>
            <wp:extent cx="10117455" cy="5664200"/>
            <wp:effectExtent l="19050" t="0" r="0" b="0"/>
            <wp:wrapNone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66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1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20"/>
        <w:gridCol w:w="80"/>
        <w:gridCol w:w="2820"/>
        <w:gridCol w:w="80"/>
        <w:gridCol w:w="640"/>
        <w:gridCol w:w="40"/>
        <w:gridCol w:w="180"/>
        <w:gridCol w:w="500"/>
        <w:gridCol w:w="160"/>
        <w:gridCol w:w="140"/>
        <w:gridCol w:w="1300"/>
        <w:gridCol w:w="1120"/>
        <w:gridCol w:w="760"/>
        <w:gridCol w:w="800"/>
        <w:gridCol w:w="240"/>
        <w:gridCol w:w="60"/>
        <w:gridCol w:w="20"/>
        <w:gridCol w:w="1980"/>
        <w:gridCol w:w="20"/>
        <w:gridCol w:w="400"/>
        <w:gridCol w:w="20"/>
        <w:gridCol w:w="560"/>
        <w:gridCol w:w="420"/>
        <w:gridCol w:w="20"/>
        <w:gridCol w:w="560"/>
        <w:gridCol w:w="2120"/>
      </w:tblGrid>
      <w:tr w:rsidR="000B0ACB">
        <w:trPr>
          <w:trHeight w:val="241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40" w:type="dxa"/>
            <w:gridSpan w:val="1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</w:t>
            </w:r>
          </w:p>
        </w:tc>
        <w:tc>
          <w:tcPr>
            <w:tcW w:w="100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NP  Doc.</w:t>
            </w: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7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19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440" w:type="dxa"/>
            <w:gridSpan w:val="14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(motivazione nella determina di indizione)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1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40" w:type="dxa"/>
            <w:gridSpan w:val="14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11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8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8/2017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rappresenta un frazionamento artificioso di un appalto sopra soglia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446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5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0B0ACB">
        <w:trPr>
          <w:trHeight w:val="34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</w:t>
            </w: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lavori, servizi e forniture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  <w:u w:val="single"/>
              </w:rPr>
            </w:pPr>
            <w:r>
              <w:rPr>
                <w:rFonts w:ascii="Arial" w:eastAsia="Arial" w:hAnsi="Arial"/>
                <w:b/>
                <w:w w:val="94"/>
              </w:rPr>
              <w:t xml:space="preserve">qualora </w:t>
            </w:r>
            <w:r>
              <w:rPr>
                <w:rFonts w:ascii="Arial" w:eastAsia="Arial" w:hAnsi="Arial"/>
                <w:b/>
                <w:w w:val="94"/>
                <w:u w:val="single"/>
              </w:rPr>
              <w:t>non sia stata presentata alcuna offerta o alcuna offerta appropriata, né alcuna domanda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2 lett. 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partecipazione o alcuna domanda di partecipazione appropriata, in esito all’esperimento di una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8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3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29" w:lineRule="exac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procedura aperta o ristretta, purché le condizioni iniziali dell’appalto non siano sostanzialmente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modificate e purché sia trasmessa una relazione alla Commissione europea, su sua richiesta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 w:rsidRPr="0096293C">
        <w:trPr>
          <w:trHeight w:val="2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quando possono essere forniti unicamente da un determinato operatore economico perché</w:t>
            </w:r>
          </w:p>
        </w:tc>
        <w:tc>
          <w:tcPr>
            <w:tcW w:w="3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lang w:val="de-DE"/>
              </w:rPr>
            </w:pPr>
            <w:r w:rsidRPr="0096293C">
              <w:rPr>
                <w:rFonts w:ascii="Arial" w:eastAsia="Arial" w:hAnsi="Arial"/>
                <w:b/>
                <w:w w:val="99"/>
                <w:lang w:val="de-DE"/>
              </w:rPr>
              <w:t>art. 62 c. 2 lett. b n.1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</w:tr>
      <w:tr w:rsidR="000B0ACB" w:rsidRPr="0096293C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8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420" w:type="dxa"/>
            <w:gridSpan w:val="2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76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scopo  dell’appalto  consiste  nella  creazione  o  nell’acquisizione  di  un’opera  d’arte  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rappresentazione artistica unica</w:t>
            </w:r>
          </w:p>
        </w:tc>
        <w:tc>
          <w:tcPr>
            <w:tcW w:w="5000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 w:rsidRPr="0096293C">
        <w:trPr>
          <w:trHeight w:val="2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quando possono essere forniti unicamente da un determinato operatore economico perché</w:t>
            </w:r>
          </w:p>
        </w:tc>
        <w:tc>
          <w:tcPr>
            <w:tcW w:w="3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lang w:val="de-DE"/>
              </w:rPr>
            </w:pPr>
            <w:r w:rsidRPr="0096293C">
              <w:rPr>
                <w:rFonts w:ascii="Arial" w:eastAsia="Arial" w:hAnsi="Arial"/>
                <w:b/>
                <w:w w:val="99"/>
                <w:lang w:val="de-DE"/>
              </w:rPr>
              <w:t>art. 62 c. 2 lett. b n.2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de-DE"/>
              </w:rPr>
            </w:pPr>
          </w:p>
        </w:tc>
      </w:tr>
      <w:tr w:rsidR="000B0ACB" w:rsidRPr="0096293C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680" w:type="dxa"/>
            <w:gridSpan w:val="2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8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420" w:type="dxa"/>
            <w:gridSpan w:val="2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760" w:type="dxa"/>
            <w:shd w:val="clear" w:color="auto" w:fill="000000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Pr="0096293C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  <w:lang w:val="de-DE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  <w:lang w:val="de-DE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concorrenza è assente per motivi tecnici (solo quando non esistono altri operatori economici 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580" w:type="dxa"/>
            <w:gridSpan w:val="4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soluzioni alternative ragionevoli e l’assenza di concorrenza non è il risultato di una limitazione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artificiale dei parametri dell’appalto)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 w:rsidRPr="0096293C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  <w:u w:val="single"/>
              </w:rPr>
            </w:pPr>
            <w:r>
              <w:rPr>
                <w:rFonts w:ascii="Arial" w:eastAsia="Arial" w:hAnsi="Arial"/>
                <w:b/>
                <w:w w:val="94"/>
              </w:rPr>
              <w:t xml:space="preserve">quando possono essere forniti </w:t>
            </w:r>
            <w:r>
              <w:rPr>
                <w:rFonts w:ascii="Arial" w:eastAsia="Arial" w:hAnsi="Arial"/>
                <w:b/>
                <w:w w:val="94"/>
                <w:u w:val="single"/>
              </w:rPr>
              <w:t>unicamente da un determinato operatore economico per la tutela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lang w:val="de-DE"/>
              </w:rPr>
            </w:pPr>
            <w:r w:rsidRPr="0096293C">
              <w:rPr>
                <w:rFonts w:ascii="Arial" w:eastAsia="Arial" w:hAnsi="Arial"/>
                <w:b/>
                <w:w w:val="99"/>
                <w:lang w:val="de-DE"/>
              </w:rPr>
              <w:t>art. 62 c. 2 lett. b n.3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de-DE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de-DE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de-DE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Pr="0096293C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de-DE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  <w:u w:val="single"/>
              </w:rPr>
              <w:t>diritti esclusivi, inclusi i diritti di proprietà intellettuale</w:t>
            </w:r>
            <w:r>
              <w:rPr>
                <w:rFonts w:ascii="Arial" w:eastAsia="Arial" w:hAnsi="Arial"/>
                <w:b/>
                <w:w w:val="97"/>
              </w:rPr>
              <w:t xml:space="preserve"> (solo quando non esistono altri operatori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economici o soluzioni alternative ragionevoli e l’assenza di concorrenza non è il risultato di una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limitazione artificiale dei parametri dell’appalto)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58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nella misura strettamente necessaria quando, per ragioni di estrema urgenza derivante da eventi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2 lett. 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5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2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6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imprevedibili  dall’amministrazione  aggiudicatrice,  i  termini per le  procedure  aperte  o  per  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580" w:type="dxa"/>
            <w:gridSpan w:val="4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8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420" w:type="dxa"/>
            <w:gridSpan w:val="7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procedure ristrette o per le procedure competitive con negoziazione non possono essere rispettati.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Le circostanze invocate a giustificazione non imputabili alle amministrazioni aggiudicatrici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5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4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</w:t>
            </w:r>
          </w:p>
        </w:tc>
        <w:tc>
          <w:tcPr>
            <w:tcW w:w="8540" w:type="dxa"/>
            <w:gridSpan w:val="1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Forniture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840" w:type="dxa"/>
            <w:gridSpan w:val="1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6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40" w:type="dxa"/>
            <w:gridSpan w:val="1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qualora i prodotti oggetto dell’appalto siano fabbricati esclusivamente a scopo di ricerca,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3 lett. 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5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520" w:type="dxa"/>
            <w:gridSpan w:val="7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1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sperimentazione, di studio o di sviluppo, salvo che non si tratti di produzione in quantità volta ad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30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491" w:lineRule="auto"/>
        <w:ind w:left="920" w:right="5200" w:hanging="66"/>
        <w:rPr>
          <w:rFonts w:ascii="Arial" w:eastAsia="Arial" w:hAnsi="Arial"/>
          <w:b/>
          <w:sz w:val="19"/>
        </w:rPr>
      </w:pPr>
      <w:bookmarkStart w:id="34" w:name="page32"/>
      <w:bookmarkEnd w:id="34"/>
      <w:r>
        <w:rPr>
          <w:rFonts w:ascii="Arial" w:eastAsia="Arial" w:hAnsi="Arial"/>
          <w:b/>
          <w:sz w:val="19"/>
        </w:rPr>
        <w:lastRenderedPageBreak/>
        <w:t xml:space="preserve"> accertare la redditività commerciale del prodotto o ad ammortizzare i costi di ricerca e di sviluppo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-311150</wp:posOffset>
            </wp:positionV>
            <wp:extent cx="10117455" cy="6033135"/>
            <wp:effectExtent l="19050" t="0" r="0" b="0"/>
            <wp:wrapNone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3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0" w:lineRule="atLeast"/>
        <w:ind w:left="9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nel caso di </w:t>
      </w:r>
      <w:r>
        <w:rPr>
          <w:rFonts w:ascii="Arial" w:eastAsia="Arial" w:hAnsi="Arial"/>
          <w:b/>
          <w:u w:val="single"/>
        </w:rPr>
        <w:t>consegne complementari</w:t>
      </w:r>
      <w:r>
        <w:rPr>
          <w:rFonts w:ascii="Arial" w:eastAsia="Arial" w:hAnsi="Arial"/>
          <w:b/>
        </w:rPr>
        <w:t xml:space="preserve"> effettuate dal fornitore originario e destinate al rinnovo  art. 63 c. 3 lett. b)</w:t>
      </w:r>
    </w:p>
    <w:p w:rsidR="000B0ACB" w:rsidRDefault="000B0ACB">
      <w:pPr>
        <w:spacing w:line="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920" w:right="6180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parziale di forniture o di impianti o all’ampliamento di forniture o impianti esistenti, qualora il cambiamento di fornitore obblighi l’amministrazione aggiudicatrice ad acquistare forniture con caratteristiche tecniche differenti, il cui impiego o la cui manutenzione comporterebbero incompatibilità o difficoltà tecniche sproporzionate; durata max tre anni</w:t>
      </w:r>
    </w:p>
    <w:p w:rsidR="000B0ACB" w:rsidRDefault="000B0ACB">
      <w:pPr>
        <w:spacing w:line="137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820"/>
        </w:tabs>
        <w:spacing w:line="0" w:lineRule="atLeast"/>
        <w:ind w:left="9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</w:rPr>
        <w:t xml:space="preserve">per forniture </w:t>
      </w:r>
      <w:r>
        <w:rPr>
          <w:rFonts w:ascii="Arial" w:eastAsia="Arial" w:hAnsi="Arial"/>
          <w:b/>
          <w:u w:val="single"/>
        </w:rPr>
        <w:t>quotate e acquistate sul mercato delle materie prime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8"/>
        </w:rPr>
        <w:t>art. 63 c. 3 lett. c)</w:t>
      </w:r>
    </w:p>
    <w:p w:rsidR="000B0ACB" w:rsidRDefault="000B0ACB">
      <w:pPr>
        <w:spacing w:line="17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per l’acquisto di forniture o servizi a </w:t>
      </w:r>
      <w:r>
        <w:rPr>
          <w:rFonts w:ascii="Arial" w:eastAsia="Arial" w:hAnsi="Arial"/>
          <w:b/>
          <w:u w:val="single"/>
        </w:rPr>
        <w:t>condizioni particolarmente vantaggiose</w:t>
      </w:r>
      <w:r>
        <w:rPr>
          <w:rFonts w:ascii="Arial" w:eastAsia="Arial" w:hAnsi="Arial"/>
          <w:b/>
        </w:rPr>
        <w:t>, da un fornitore che  art. 63 c. 3 lett. d)</w:t>
      </w:r>
    </w:p>
    <w:p w:rsidR="000B0ACB" w:rsidRDefault="000B0ACB">
      <w:pPr>
        <w:spacing w:line="0" w:lineRule="atLeast"/>
        <w:ind w:left="9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cessa definitivamente l’attività commerciale oppure dagli organi delle procedure concorsuali</w:t>
      </w:r>
    </w:p>
    <w:p w:rsidR="000B0ACB" w:rsidRDefault="000B0ACB">
      <w:pPr>
        <w:tabs>
          <w:tab w:val="left" w:pos="900"/>
        </w:tabs>
        <w:spacing w:line="185" w:lineRule="auto"/>
        <w:ind w:left="80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25"/>
          <w:vertAlign w:val="subscript"/>
        </w:rPr>
        <w:t>A.3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5"/>
        </w:rPr>
        <w:t>Servizi</w:t>
      </w:r>
    </w:p>
    <w:p w:rsidR="000B0ACB" w:rsidRDefault="000B0ACB">
      <w:pPr>
        <w:spacing w:line="378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20"/>
        <w:gridCol w:w="1100"/>
        <w:gridCol w:w="2320"/>
        <w:gridCol w:w="1240"/>
        <w:gridCol w:w="2020"/>
        <w:gridCol w:w="2260"/>
        <w:gridCol w:w="398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l’appalto fa seguito ad un concorso di progettazione e deve, in base alle norme applicabili, essere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4</w:t>
            </w: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3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4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aggiudicato al vincitore o ad uno dei vincitori del concorso. In quest’ultimo caso, tutti i vincitori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devono essere invitati a partecipare ai negoziati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2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A.4</w:t>
            </w: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lavori e servizi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2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9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6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nuovi lavori o servizi consistenti nella ripetizione di lavori o servizi analoghi, già affidati all’operatore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5</w:t>
            </w:r>
          </w:p>
        </w:tc>
      </w:tr>
      <w:tr w:rsidR="000B0ACB">
        <w:trPr>
          <w:trHeight w:val="2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4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26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9" w:lineRule="exac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economico aggiudicatario dell’appalto iniziale dalle medesime amministrazioni aggiudicatrici, a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condizione che tali lavori o servizi siano conformi al progetto a base di gara e che tale progetto sia</w:t>
            </w:r>
          </w:p>
        </w:tc>
        <w:tc>
          <w:tcPr>
            <w:tcW w:w="3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</w:tbl>
    <w:p w:rsidR="000B0ACB" w:rsidRDefault="000B0ACB">
      <w:pPr>
        <w:spacing w:line="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47" w:lineRule="auto"/>
        <w:ind w:left="920" w:right="6180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stato oggetto di un primo appalto aggiudicato secondo una procedura di cui all’art. 59, comma 1</w:t>
      </w:r>
      <w:r>
        <w:rPr>
          <w:rFonts w:ascii="Arial" w:eastAsia="Arial" w:hAnsi="Arial"/>
          <w:b/>
          <w:sz w:val="23"/>
        </w:rPr>
        <w:t>.</w:t>
      </w:r>
      <w:r>
        <w:rPr>
          <w:rFonts w:ascii="Arial" w:eastAsia="Arial" w:hAnsi="Arial"/>
          <w:b/>
        </w:rPr>
        <w:t xml:space="preserve"> Il ricorso a questa procedura è limitato al triennio successivo alla stipulazione del contratto dell’appalto iniziale</w:t>
      </w:r>
    </w:p>
    <w:p w:rsidR="000B0ACB" w:rsidRDefault="000B0ACB">
      <w:pPr>
        <w:spacing w:line="30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 - PRESENTAZIONE DELLE OFFERTE</w:t>
      </w:r>
    </w:p>
    <w:p w:rsidR="000B0ACB" w:rsidRDefault="000B0ACB">
      <w:pPr>
        <w:spacing w:line="317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20"/>
        <w:gridCol w:w="892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invito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numero minimo di soggetti da invitare: almeno 5 operatori economici (“se sussistono in tale numero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c. 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soggetti idonei”) individuati sulla base di informazioni riguardanti le caratteristiche di qualificazione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economica e finanziaria e tecniche e professionali desunte dal mercato, nel rispetto dei principi di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trasparenza, concorrenza, rotazione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contenuto dell'invito è conforme alla normativa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 termini previsti per la presentazione dell'offerta sono conformi alla normativa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e 36 c. 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offerte sono pervenute nei termini previsti dalla lettera di invito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8"/>
        </w:rPr>
        <w:sectPr w:rsidR="000B0ACB">
          <w:pgSz w:w="16840" w:h="11906" w:orient="landscape"/>
          <w:pgMar w:top="710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17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31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5" w:name="page33"/>
      <w:bookmarkEnd w:id="35"/>
    </w:p>
    <w:p w:rsidR="000B0ACB" w:rsidRDefault="000B0ACB">
      <w:pPr>
        <w:spacing w:line="31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 - SELEZIONE DELLE OFFERTE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119380</wp:posOffset>
            </wp:positionV>
            <wp:extent cx="10117455" cy="5737225"/>
            <wp:effectExtent l="19050" t="0" r="0" b="0"/>
            <wp:wrapNone/>
            <wp:docPr id="49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73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20"/>
        <w:gridCol w:w="80"/>
        <w:gridCol w:w="5020"/>
        <w:gridCol w:w="384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selezione delle offerte con il criterio del prezzo più basso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2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può essere utilizzato tale criterio e c’è motivazione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C.1.3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presenza e completezza del verbale (riferimenti procedura, seduta pubblica, elenco invitati e offerte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pervenute, esito esame documentazione amministrativa, esclusioni e ammissioni, graduatoria,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 prezzo (offerte inferiori base di gara, non condizionate, non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parziali, verifica eventuali calcoli composizione prezzo offerto)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C.1.5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svolgimento della verifica in contraddittorio delle offerte anomale (a cura del RUP o di apposita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C.1.6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solo per gare di importo inferiore alle soglie europee: possibile esclusione automatica delle offerte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8</w:t>
            </w: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anomale (se prevista su bando e se almeno dieci offerte)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C.1.7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concernenti l’adempimento delle disposizioni in materia di salute e sicurezza sui luoghi di lavoro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(no nelle forniture senza posa in opera, servizi di natura intellettuale e degli affidamenti sotto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C.1.8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C.1.9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controllo sul possesso dei requisiti (Decreto MIT per Banca dati nazionale operatori economici –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nelle more AVCPass)</w:t>
            </w:r>
          </w:p>
        </w:tc>
        <w:tc>
          <w:tcPr>
            <w:tcW w:w="610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0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requisiti generali (DURC, Casellario impresa e singoli soggetti in carica o cessati o soggetti in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3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32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6" w:name="page34"/>
      <w:bookmarkEnd w:id="36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889625"/>
            <wp:effectExtent l="19050" t="0" r="0" b="0"/>
            <wp:wrapNone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88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7720"/>
        <w:gridCol w:w="73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85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C.1.12   presenza aggiudicazione (decreto o determina di aggiudicazione)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C.1.13</w:t>
            </w: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4"/>
        </w:trPr>
        <w:tc>
          <w:tcPr>
            <w:tcW w:w="8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5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C.1.14   pubblicazione dell'esito della gara (decreto MIT 2.12.2016)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98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C.1.15</w:t>
            </w: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10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73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0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C.1.16</w:t>
      </w:r>
      <w:r>
        <w:rPr>
          <w:rFonts w:ascii="Arial" w:eastAsia="Arial" w:hAnsi="Arial"/>
          <w:b/>
        </w:rPr>
        <w:tab/>
        <w:t>rispetto della normativa sulla tracciabilità (presenza CIG su documentazione di gara, contratto e  art. 3 legge</w:t>
      </w:r>
    </w:p>
    <w:tbl>
      <w:tblPr>
        <w:tblW w:w="0" w:type="auto"/>
        <w:tblInd w:w="9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540"/>
        <w:gridCol w:w="4220"/>
      </w:tblGrid>
      <w:tr w:rsidR="000B0ACB">
        <w:trPr>
          <w:trHeight w:val="230"/>
        </w:trPr>
        <w:tc>
          <w:tcPr>
            <w:tcW w:w="5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42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</w:tr>
      <w:tr w:rsidR="000B0ACB">
        <w:trPr>
          <w:trHeight w:val="60"/>
        </w:trPr>
        <w:tc>
          <w:tcPr>
            <w:tcW w:w="5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tabs>
          <w:tab w:val="left" w:pos="1900"/>
        </w:tabs>
        <w:spacing w:line="184" w:lineRule="auto"/>
        <w:ind w:left="8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31"/>
          <w:vertAlign w:val="subscript"/>
        </w:rPr>
        <w:lastRenderedPageBreak/>
        <w:t>C.2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7"/>
          <w:u w:val="single"/>
        </w:rPr>
        <w:t>selezione delle offerte con il criterio del miglior rapporto qualità/prezzo</w:t>
      </w:r>
      <w:r>
        <w:rPr>
          <w:rFonts w:ascii="Arial" w:eastAsia="Arial" w:hAnsi="Arial"/>
          <w:b/>
          <w:sz w:val="17"/>
        </w:rPr>
        <w:t xml:space="preserve"> (art. 95 c. 3, 6 e 8)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4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920"/>
        <w:rPr>
          <w:rFonts w:ascii="Arial" w:eastAsia="Arial" w:hAnsi="Arial"/>
          <w:b/>
        </w:rPr>
      </w:pPr>
      <w:r>
        <w:rPr>
          <w:rFonts w:ascii="Arial" w:eastAsia="Arial" w:hAnsi="Arial"/>
          <w:b/>
          <w:u w:val="single"/>
        </w:rPr>
        <w:t>selezione sulla base del prezzo o costo fisso in base a criteri qualitativi</w:t>
      </w:r>
      <w:r>
        <w:rPr>
          <w:rFonts w:ascii="Arial" w:eastAsia="Arial" w:hAnsi="Arial"/>
          <w:b/>
        </w:rPr>
        <w:t xml:space="preserve"> (art. 95 c.7)</w:t>
      </w:r>
    </w:p>
    <w:p w:rsidR="000B0ACB" w:rsidRDefault="000B0ACB">
      <w:pPr>
        <w:spacing w:line="191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br w:type="column"/>
      </w:r>
    </w:p>
    <w:p w:rsidR="000B0ACB" w:rsidRDefault="000B0ACB" w:rsidP="000B0ACB">
      <w:pPr>
        <w:numPr>
          <w:ilvl w:val="0"/>
          <w:numId w:val="23"/>
        </w:numPr>
        <w:tabs>
          <w:tab w:val="left" w:pos="400"/>
        </w:tabs>
        <w:spacing w:line="0" w:lineRule="atLeast"/>
        <w:ind w:left="400" w:hanging="389"/>
        <w:rPr>
          <w:rFonts w:ascii="Arial" w:eastAsia="Arial" w:hAnsi="Arial"/>
          <w:b/>
          <w:sz w:val="27"/>
        </w:rPr>
      </w:pPr>
      <w:r>
        <w:rPr>
          <w:rFonts w:ascii="Arial" w:eastAsia="Arial" w:hAnsi="Arial"/>
          <w:b/>
          <w:sz w:val="19"/>
        </w:rPr>
        <w:t>Linee guida ANAC n. 2/2016</w:t>
      </w:r>
    </w:p>
    <w:p w:rsidR="000B0ACB" w:rsidRDefault="000B0ACB">
      <w:pPr>
        <w:spacing w:line="13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28"/>
        </w:rPr>
      </w:pPr>
      <w:r>
        <w:rPr>
          <w:rFonts w:ascii="Arial" w:eastAsia="Arial" w:hAnsi="Arial"/>
          <w:b/>
          <w:sz w:val="28"/>
        </w:rPr>
        <w:t>□</w:t>
      </w:r>
    </w:p>
    <w:p w:rsidR="000B0ACB" w:rsidRDefault="000B0ACB">
      <w:pPr>
        <w:spacing w:line="0" w:lineRule="atLeast"/>
        <w:rPr>
          <w:rFonts w:ascii="Arial" w:eastAsia="Arial" w:hAnsi="Arial"/>
          <w:b/>
          <w:sz w:val="28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9900" w:space="720"/>
            <w:col w:w="5260"/>
          </w:cols>
          <w:docGrid w:linePitch="360"/>
        </w:sectPr>
      </w:pPr>
    </w:p>
    <w:p w:rsidR="000B0ACB" w:rsidRDefault="000B0ACB">
      <w:pPr>
        <w:spacing w:line="196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00"/>
          <w:tab w:val="left" w:pos="9840"/>
        </w:tabs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>C.2.1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atto di nomina commissione giudicatrice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9"/>
        </w:rPr>
        <w:t>artt. 77 e 78</w:t>
      </w:r>
    </w:p>
    <w:p w:rsidR="000B0ACB" w:rsidRDefault="000B0ACB">
      <w:pPr>
        <w:spacing w:line="5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8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Linee guida ANAC</w:t>
      </w:r>
    </w:p>
    <w:p w:rsidR="000B0ACB" w:rsidRDefault="000B0ACB">
      <w:pPr>
        <w:spacing w:line="0" w:lineRule="atLeast"/>
        <w:ind w:left="98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n. 5/2016</w:t>
      </w: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920" w:right="42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correttezza dei criteri di nomina secondo regole di competenza e trasparenza preventivamente artt. 29, 42, 77, 78 e individuate da ciascuna stazione appaltante (termini, composizione e pubblicità) e delle 216 c. 12 dichiarazioni sull’assenza del conflitto d’interesse</w:t>
      </w:r>
    </w:p>
    <w:p w:rsidR="000B0ACB" w:rsidRDefault="000B0ACB">
      <w:pPr>
        <w:spacing w:line="8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00"/>
        </w:tabs>
        <w:spacing w:line="237" w:lineRule="auto"/>
        <w:ind w:left="920" w:right="6160" w:hanging="839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C.2.2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e completezza del verbale (riferimenti procedura, seduta pubblica, elenco invitati e offerte pervenute, esito esame documentazione amministrativa, esclusioni e ammissioni, graduatoria, anomalia offerte, proposta di aggiudicazione)</w:t>
      </w:r>
    </w:p>
    <w:p w:rsidR="000B0ACB" w:rsidRDefault="000B0ACB">
      <w:pPr>
        <w:tabs>
          <w:tab w:val="left" w:pos="900"/>
        </w:tabs>
        <w:spacing w:line="237" w:lineRule="auto"/>
        <w:ind w:left="920" w:right="6160" w:hanging="839"/>
        <w:jc w:val="both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6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33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7" w:name="page35"/>
      <w:bookmarkEnd w:id="37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017895"/>
            <wp:effectExtent l="19050" t="0" r="0" b="0"/>
            <wp:wrapNone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1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894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C.2.3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correttezza  della  valutazione  dell'offerta  tecnica  (rispetto  elementi  e  rispettivi  parametri 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1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valutazione, esame sistema prescelto, eventuale correttezza dei metodi di riparametrazione)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C.2.4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dell'offerta economica (solo per miglior rapporto qualità/prezzo)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(offerte inferiori base di gara, non condizionate, non parziali, verifica eventuali calcoli composizione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prezzo offerto)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C.2.5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svolgimento della verifica in contraddittorio delle offerte anomale (da parte del RUP con il supporto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C.2.6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concernenti l’adempimento delle disposizioni in materia di salute e sicurezza sui luoghi di lavoro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(no nelle forniture senza posa in opera, servizi di natura intellettuale e degli affidamenti sotto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C.2.7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C.2.8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C.2.9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C.2.10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requisiti generali (DURC, Casellario impresa e singoli soggetti in carica o cessati o soggetti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157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11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 Decreto MIT</w:t>
            </w:r>
          </w:p>
        </w:tc>
      </w:tr>
      <w:tr w:rsidR="000B0ACB">
        <w:trPr>
          <w:trHeight w:val="337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C.2.11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C.2.12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8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4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34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8" w:name="page36"/>
      <w:bookmarkEnd w:id="3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586730"/>
            <wp:effectExtent l="19050" t="0" r="0" b="0"/>
            <wp:wrapNone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20"/>
        <w:gridCol w:w="892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978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C.2.13   pubblicazione dell'esito della gara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98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978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C.2.14   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8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78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C.2.15   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8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35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39" w:name="page37"/>
      <w:bookmarkEnd w:id="3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114300</wp:posOffset>
            </wp:positionV>
            <wp:extent cx="9147810" cy="290830"/>
            <wp:effectExtent l="19050" t="0" r="0" b="0"/>
            <wp:wrapNone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I – Checklist - PROCEDURA RISTRETTA (art. 61)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262890</wp:posOffset>
            </wp:positionV>
            <wp:extent cx="10117455" cy="5328920"/>
            <wp:effectExtent l="19050" t="0" r="0" b="0"/>
            <wp:wrapNone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32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15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60"/>
        <w:gridCol w:w="8900"/>
        <w:gridCol w:w="20"/>
        <w:gridCol w:w="1960"/>
        <w:gridCol w:w="20"/>
        <w:gridCol w:w="400"/>
        <w:gridCol w:w="20"/>
        <w:gridCol w:w="560"/>
        <w:gridCol w:w="420"/>
        <w:gridCol w:w="20"/>
        <w:gridCol w:w="540"/>
        <w:gridCol w:w="20"/>
        <w:gridCol w:w="1960"/>
        <w:gridCol w:w="160"/>
      </w:tblGrid>
      <w:tr w:rsidR="000B0ACB">
        <w:trPr>
          <w:trHeight w:val="241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NO</w:t>
            </w:r>
          </w:p>
        </w:tc>
        <w:tc>
          <w:tcPr>
            <w:tcW w:w="3120" w:type="dxa"/>
            <w:gridSpan w:val="6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NP  Doc.  NOTE</w:t>
            </w:r>
          </w:p>
        </w:tc>
      </w:tr>
      <w:tr w:rsidR="000B0ACB">
        <w:trPr>
          <w:trHeight w:val="24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</w:tr>
      <w:tr w:rsidR="000B0ACB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22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76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(motivazione nella determina di indizione)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221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1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76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0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rappresenta un frazionamento artificioso di un appalto sopra soglia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3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459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 - AVVISO DI PREINFORMAZIONE (facoltativo)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avviso di preinformazione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dei contenuti dell'avviso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allegato XIV, Parte 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lettera B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4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C-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76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contenuti del bando conformi alla legge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allegato XIV, Parte 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(rispetto bando-tipo Linee guida ANAC)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lettera C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conformità dei termini di presentazione delle domande di partecipazione indicati nel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37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C.3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bando prevede un numero massimo di candidati da invitare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n° minimo candidati (cinque)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modalità di pubblicazione - sopra soglia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73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9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C.5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modalità di pubblicazione - sotto soglia (lavori)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73 e 36 c. 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9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7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5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36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0" w:name="page38"/>
      <w:bookmarkEnd w:id="40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318135"/>
            <wp:effectExtent l="19050" t="0" r="0" b="0"/>
            <wp:wrapNone/>
            <wp:docPr id="5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  <w:tab w:val="left" w:pos="9840"/>
        </w:tabs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>C.6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correttezza modalità di pubblicazione - sotto soglia (forniture e servizi) (decreto MIT 2.12.2016)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9"/>
        </w:rPr>
        <w:t>artt. 73 e 36 c. 9</w:t>
      </w:r>
    </w:p>
    <w:p w:rsidR="000B0ACB" w:rsidRDefault="000B0ACB">
      <w:pPr>
        <w:spacing w:line="39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 - DOMANDE DI PARTECIPAZIONE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-46355</wp:posOffset>
            </wp:positionV>
            <wp:extent cx="10117455" cy="5299710"/>
            <wp:effectExtent l="19050" t="0" r="0" b="0"/>
            <wp:wrapNone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29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97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80"/>
        <w:gridCol w:w="8180"/>
        <w:gridCol w:w="7020"/>
      </w:tblGrid>
      <w:tr w:rsidR="000B0ACB">
        <w:trPr>
          <w:trHeight w:val="230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</w:t>
            </w:r>
          </w:p>
        </w:tc>
        <w:tc>
          <w:tcPr>
            <w:tcW w:w="8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domande sono regolari e pervenute nei termini previsti dal bando</w:t>
            </w:r>
          </w:p>
        </w:tc>
        <w:tc>
          <w:tcPr>
            <w:tcW w:w="7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354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</w:t>
            </w:r>
          </w:p>
        </w:tc>
        <w:tc>
          <w:tcPr>
            <w:tcW w:w="8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7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354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D.3</w:t>
            </w:r>
          </w:p>
        </w:tc>
        <w:tc>
          <w:tcPr>
            <w:tcW w:w="8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70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</w:tbl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E - PRESENTAZIONE DELLE OFFERTE</w:t>
      </w:r>
    </w:p>
    <w:p w:rsidR="000B0ACB" w:rsidRDefault="000B0ACB">
      <w:pPr>
        <w:spacing w:line="317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0"/>
        <w:gridCol w:w="5000"/>
        <w:gridCol w:w="382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</w:t>
            </w:r>
          </w:p>
        </w:tc>
        <w:tc>
          <w:tcPr>
            <w:tcW w:w="89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invito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7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contenuto dell'invito è conforme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75 e allegato XV</w:t>
            </w:r>
          </w:p>
        </w:tc>
      </w:tr>
      <w:tr w:rsidR="000B0ACB">
        <w:trPr>
          <w:trHeight w:val="265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 termini previsti per la presentazione dell'offerta sono conformi alla normativa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61</w:t>
            </w:r>
          </w:p>
        </w:tc>
      </w:tr>
      <w:tr w:rsidR="000B0ACB">
        <w:trPr>
          <w:trHeight w:val="258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E.1.3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offerte sono pervenute nei termini previsti dalla lettera di invito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3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459"/>
        </w:trPr>
        <w:tc>
          <w:tcPr>
            <w:tcW w:w="97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 - SELEZIONE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6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delle offerte con il criterio del prezzo più basso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129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può essere utilizzato tale criterio e c’è motivazione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289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F.1.3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e completezza del verbale (riferimenti procedura, seduta pubblica, elenco invitati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offerte  pervenute,  esito  esame  documentazione  amministrativa,  esclusioni  e  ammissioni,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graduatoria, anomalia offerte, proposta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4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37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1" w:name="page39"/>
      <w:bookmarkEnd w:id="4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984240"/>
            <wp:effectExtent l="19050" t="0" r="0" b="0"/>
            <wp:wrapNone/>
            <wp:docPr id="57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98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90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 prezzo (offerte inferiori base di gara, non condizionate, non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parziali, verifica eventuali calcoli composizione prezzo offerto)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F.1.5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svolgimento della verifica in contraddittorio delle offerte anomale (a cura del RUP o di apposita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F.1.6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solo per gare di importo inferiore alle soglie europee: possibile esclusione automatica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8</w:t>
            </w: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anomale (se prevista su bando e se almeno dieci offerte)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F.1.7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concernenti l’adempimento delle disposizioni in materia di salute e sicurezza sui luoghi di lavoro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(no nelle forniture senza posa in opera, servizi di natura intellettuale e degli affidamenti sotto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F.1.8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F.1.9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32</w:t>
            </w:r>
          </w:p>
        </w:tc>
      </w:tr>
      <w:tr w:rsidR="000B0ACB">
        <w:trPr>
          <w:trHeight w:val="10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F.1.10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3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3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requisiti generali (DURC, Casellario impresa e singoli soggetti in carica o cessati o soggetti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36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8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9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38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2" w:name="page40"/>
      <w:bookmarkEnd w:id="42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774055"/>
            <wp:effectExtent l="19050" t="0" r="0" b="0"/>
            <wp:wrapNone/>
            <wp:docPr id="58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77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7700"/>
        <w:gridCol w:w="730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F.1.13</w:t>
            </w: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7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67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F.1.14</w:t>
            </w: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dell'esito della gara (decreto MIT 2.12.2016)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98 allegato XIV,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Parte I, lettera D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F.1.15</w:t>
            </w: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7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F.1.16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rispetto della normativa sulla tracciabilità (presenza CIG su documentazione di gara, contratto e  art. 3 legge</w:t>
      </w:r>
    </w:p>
    <w:tbl>
      <w:tblPr>
        <w:tblW w:w="0" w:type="auto"/>
        <w:tblInd w:w="9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520"/>
        <w:gridCol w:w="4200"/>
      </w:tblGrid>
      <w:tr w:rsidR="000B0ACB">
        <w:trPr>
          <w:trHeight w:val="230"/>
        </w:trPr>
        <w:tc>
          <w:tcPr>
            <w:tcW w:w="5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42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</w:tr>
      <w:tr w:rsidR="000B0ACB">
        <w:trPr>
          <w:trHeight w:val="60"/>
        </w:trPr>
        <w:tc>
          <w:tcPr>
            <w:tcW w:w="5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tbl>
      <w:tblPr>
        <w:tblW w:w="0" w:type="auto"/>
        <w:tblInd w:w="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860"/>
        <w:gridCol w:w="6200"/>
        <w:gridCol w:w="1680"/>
      </w:tblGrid>
      <w:tr w:rsidR="000B0ACB">
        <w:trPr>
          <w:trHeight w:val="230"/>
        </w:trPr>
        <w:tc>
          <w:tcPr>
            <w:tcW w:w="1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</w:t>
            </w:r>
          </w:p>
        </w:tc>
        <w:tc>
          <w:tcPr>
            <w:tcW w:w="78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selezione delle offerte con il criterio del miglior rapporto qualità/prezzo (art. 95 c. 3, 6 e 8)</w:t>
            </w:r>
          </w:p>
        </w:tc>
      </w:tr>
      <w:tr w:rsidR="000B0ACB">
        <w:trPr>
          <w:trHeight w:val="56"/>
        </w:trPr>
        <w:tc>
          <w:tcPr>
            <w:tcW w:w="1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8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B0ACB">
        <w:trPr>
          <w:trHeight w:val="20"/>
        </w:trPr>
        <w:tc>
          <w:tcPr>
            <w:tcW w:w="18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362"/>
        </w:trPr>
        <w:tc>
          <w:tcPr>
            <w:tcW w:w="1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selezione sulla base del prezzo o costo fisso in base a criteri qualitativi (art. 95 c.7)</w:t>
            </w:r>
          </w:p>
        </w:tc>
      </w:tr>
      <w:tr w:rsidR="000B0ACB">
        <w:trPr>
          <w:trHeight w:val="20"/>
        </w:trPr>
        <w:tc>
          <w:tcPr>
            <w:tcW w:w="18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0B0ACB" w:rsidRDefault="000B0ACB">
      <w:pPr>
        <w:spacing w:line="13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1"/>
        </w:rPr>
        <w:br w:type="column"/>
      </w:r>
    </w:p>
    <w:p w:rsidR="000B0ACB" w:rsidRDefault="000B0ACB" w:rsidP="000B0ACB">
      <w:pPr>
        <w:numPr>
          <w:ilvl w:val="0"/>
          <w:numId w:val="24"/>
        </w:numPr>
        <w:tabs>
          <w:tab w:val="left" w:pos="380"/>
        </w:tabs>
        <w:spacing w:line="0" w:lineRule="atLeast"/>
        <w:ind w:left="380" w:hanging="378"/>
        <w:rPr>
          <w:rFonts w:ascii="Arial" w:eastAsia="Arial" w:hAnsi="Arial"/>
          <w:b/>
          <w:sz w:val="27"/>
        </w:rPr>
      </w:pPr>
      <w:r>
        <w:rPr>
          <w:rFonts w:ascii="Arial" w:eastAsia="Arial" w:hAnsi="Arial"/>
          <w:b/>
          <w:sz w:val="19"/>
        </w:rPr>
        <w:t>Linee guida ANAC n. 2/2016</w:t>
      </w:r>
    </w:p>
    <w:p w:rsidR="000B0ACB" w:rsidRDefault="000B0ACB">
      <w:pPr>
        <w:spacing w:line="7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28"/>
        </w:rPr>
      </w:pPr>
      <w:r>
        <w:rPr>
          <w:rFonts w:ascii="Arial" w:eastAsia="Arial" w:hAnsi="Arial"/>
          <w:b/>
          <w:sz w:val="28"/>
        </w:rPr>
        <w:t>□</w:t>
      </w:r>
    </w:p>
    <w:p w:rsidR="000B0ACB" w:rsidRDefault="000B0ACB">
      <w:pPr>
        <w:spacing w:line="0" w:lineRule="atLeast"/>
        <w:rPr>
          <w:rFonts w:ascii="Arial" w:eastAsia="Arial" w:hAnsi="Arial"/>
          <w:b/>
          <w:sz w:val="28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9940" w:space="720"/>
            <w:col w:w="5220"/>
          </w:cols>
          <w:docGrid w:linePitch="360"/>
        </w:sectPr>
      </w:pPr>
    </w:p>
    <w:p w:rsidR="000B0ACB" w:rsidRDefault="000B0ACB">
      <w:pPr>
        <w:spacing w:line="19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90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atto di nomina commissione giudicatrice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77 e 78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5/2016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correttezza dei criteri di nomina secondo regole di competenza e trasparenza preventivamente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29, 42, 77, 78 e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individuate  da  ciascuna  stazione  appaltante  (termini,  composizione  e  pubblicità)  e  delle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12</w:t>
            </w: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dichiarazioni sull’assenza del conflitto d’interesse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e completezza del verbale (riferimenti procedura, seduta pubblica, elenco invitati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offerte  pervenute,  esito  esame  documentazione  amministrativa,  esclusioni  e  ammissioni,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graduatoria, anomalia offerte, proposta di aggiudicazione)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F.2.3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correttezza  della  valutazione  dell'offerta  tecnica  (rispetto  elementi  e  rispettivi  parametri 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valutazione, esame sistema prescelto, eventuale correttezza dei metodi di riparametrazione)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della valutazione dell'offerta economica (solo per miglior rapporto qualità/prezzo)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(offerte inferiori base di gara, non condizionate, non parziali, verifica eventuali calcoli composizione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prezzo offerto)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F.2.5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svolgimento della verifica in contraddittorio delle offerte anomale (da parte del RUP con il supporto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2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39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3" w:name="page41"/>
      <w:bookmarkEnd w:id="4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046470"/>
            <wp:effectExtent l="19050" t="0" r="0" b="0"/>
            <wp:wrapNone/>
            <wp:docPr id="5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4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90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F.2.6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concernenti l’adempimento delle disposizioni in materia di salute e sicurezza sui luoghi di lavoro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(no nelle forniture senza posa in opera, servizi di natura intellettuale e degli affidamenti sotto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F.2.7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8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F.2.8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6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F.2.9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35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35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F.2.10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requisiti generali (DURC, Casellario impresa e singoli soggetti in carica o cessati o soggetti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5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6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35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9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65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23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9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40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4" w:name="page42"/>
      <w:bookmarkEnd w:id="44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586730"/>
            <wp:effectExtent l="19050" t="0" r="0" b="0"/>
            <wp:wrapNone/>
            <wp:docPr id="6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900"/>
        <w:gridCol w:w="20"/>
        <w:gridCol w:w="196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F.2.13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dell'esito della gara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72 e 98</w:t>
            </w:r>
          </w:p>
        </w:tc>
      </w:tr>
      <w:tr w:rsidR="000B0ACB">
        <w:trPr>
          <w:trHeight w:val="25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F.2.15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7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41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5" w:name="page43"/>
      <w:bookmarkEnd w:id="45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114300</wp:posOffset>
            </wp:positionV>
            <wp:extent cx="9147810" cy="290830"/>
            <wp:effectExtent l="19050" t="0" r="0" b="0"/>
            <wp:wrapNone/>
            <wp:docPr id="61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L – Checklist - PROCEDURA APERTA (art. 60)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226060</wp:posOffset>
            </wp:positionV>
            <wp:extent cx="10117455" cy="5069840"/>
            <wp:effectExtent l="19050" t="0" r="0" b="0"/>
            <wp:wrapNone/>
            <wp:docPr id="62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06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3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80"/>
        <w:gridCol w:w="8920"/>
        <w:gridCol w:w="2160"/>
        <w:gridCol w:w="400"/>
        <w:gridCol w:w="1580"/>
        <w:gridCol w:w="20"/>
        <w:gridCol w:w="2120"/>
      </w:tblGrid>
      <w:tr w:rsidR="000B0ACB">
        <w:trPr>
          <w:trHeight w:val="241"/>
        </w:trPr>
        <w:tc>
          <w:tcPr>
            <w:tcW w:w="960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</w:t>
            </w:r>
          </w:p>
        </w:tc>
        <w:tc>
          <w:tcPr>
            <w:tcW w:w="37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   NP  Doc.  NOTE</w:t>
            </w:r>
          </w:p>
        </w:tc>
      </w:tr>
      <w:tr w:rsidR="000B0ACB">
        <w:trPr>
          <w:trHeight w:val="230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</w:tr>
      <w:tr w:rsidR="000B0ACB">
        <w:trPr>
          <w:trHeight w:val="275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24"/>
        </w:trPr>
        <w:tc>
          <w:tcPr>
            <w:tcW w:w="960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 – PRESUPPOSTI (motivazione nella determina di indizione)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60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18"/>
        </w:trPr>
        <w:tc>
          <w:tcPr>
            <w:tcW w:w="960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388"/>
        </w:trPr>
        <w:tc>
          <w:tcPr>
            <w:tcW w:w="9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96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rappresenta un frazionamento artificioso di un appalto sopra soglia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7"/>
        </w:trPr>
        <w:tc>
          <w:tcPr>
            <w:tcW w:w="9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1"/>
        </w:trPr>
        <w:tc>
          <w:tcPr>
            <w:tcW w:w="96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33"/>
        </w:trPr>
        <w:tc>
          <w:tcPr>
            <w:tcW w:w="9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459"/>
        </w:trPr>
        <w:tc>
          <w:tcPr>
            <w:tcW w:w="96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 - AVVISO DI PREINFORMAZIONE (facoltativo)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6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B.1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avviso di preinformazione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70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12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B.2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dei contenuti dell'avviso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allegato XIV, Parte I,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lettera B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2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221" w:lineRule="exac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71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8"/>
        </w:trPr>
        <w:tc>
          <w:tcPr>
            <w:tcW w:w="96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 - BANDO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126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contenuti del bando conformi alla legge (rispetto bando-tipo Linee guida ANAC)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allegato XIV, Parte I,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lettera C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conformità dei termini di presentazione delle offerte indicati nel bando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60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93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C.3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modalità di pubblicazione - sopra soglia (decreto MIT 2.12.2016)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73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56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C.4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correttezza modalità di pubblicazione - sotto soglia (lavori pubblici) (decreto MIT 2.12.2016)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73 e 36 c. 9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63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6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C.5</w:t>
            </w: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correttezza modalità di pubblicazione - sotto soglia (forniture e servizi) (decreto MIT 2.12.2016)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73 e 36 c. 9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2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 - DOMANDE DI PARTECIPAZIONE E OFFERTE</w:t>
      </w: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2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42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6" w:name="page44"/>
      <w:bookmarkEnd w:id="46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034405"/>
            <wp:effectExtent l="19050" t="0" r="0" b="0"/>
            <wp:wrapNone/>
            <wp:docPr id="63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34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0"/>
        <w:gridCol w:w="5000"/>
        <w:gridCol w:w="3820"/>
        <w:gridCol w:w="20"/>
        <w:gridCol w:w="1960"/>
        <w:gridCol w:w="20"/>
        <w:gridCol w:w="420"/>
        <w:gridCol w:w="20"/>
        <w:gridCol w:w="96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domande e offerte sono pervenute nei termini previsti dal bando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6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5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D.3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65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459"/>
        </w:trPr>
        <w:tc>
          <w:tcPr>
            <w:tcW w:w="978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 - SELEZIONE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</w:t>
            </w:r>
          </w:p>
        </w:tc>
        <w:tc>
          <w:tcPr>
            <w:tcW w:w="882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delle offerte con il criterio del prezzo più basso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37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82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B0ACB">
        <w:trPr>
          <w:trHeight w:val="45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può essere utilizzato tale criterio e c’è motivazione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198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E.1.2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E.1.3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e completezza del verbale (riferimenti procedura, seduta pubblica, elenco invitati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offerte  pervenute,  esito  esame  documentazione  amministrativa,  esclusioni  e  ammissioni,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graduatoria, anomalia offerte, proposta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E.1.4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 prezzo (offerte inferiori base di gara, non condizionate, non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parziali, verifica eventuali calcoli composizione prezzo offerto)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E.1.5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svolgimento della verifica in contraddittorio delle offerte anomale (a cura del RUP o di apposita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1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E.1.6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solo per gare di importo inferiore alle soglie europee: possibile esclusione automatica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8</w:t>
            </w: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anomale (se prevista su bando e se almeno dieci offerte)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E.1.7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concernenti l’adempimento delle disposizioni in materia di salute e sicurezza sui luoghi di lavoro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(no nelle forniture senza posa in opera, servizi di natura intellettuale e degli affidamenti sotto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E.1.8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E.1.9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E.1.10</w:t>
            </w: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6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2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0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1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43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7" w:name="page45"/>
      <w:bookmarkEnd w:id="47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947410"/>
            <wp:effectExtent l="19050" t="0" r="0" b="0"/>
            <wp:wrapNone/>
            <wp:docPr id="64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94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60"/>
        <w:gridCol w:w="8900"/>
        <w:gridCol w:w="20"/>
        <w:gridCol w:w="1960"/>
        <w:gridCol w:w="20"/>
        <w:gridCol w:w="420"/>
        <w:gridCol w:w="20"/>
        <w:gridCol w:w="96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E.1.11   controllo sul possesso dei requisiti (Decreto MIT per Banca dati nazionale operatori economici –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nelle more AVCPass)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8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requisiti generali (DURC, Casellario impresa e singoli soggetti in carica o cessati o soggetti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– Linee guida</w:t>
            </w: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8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3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E.1.12   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E.1.13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3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5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E.1.14   pubblicazione dell'esito della gara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98 allegato XIV,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Parte I, lettera D</w:t>
            </w: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E.1.15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217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22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0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E.1.16   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1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18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44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8" w:name="page46"/>
      <w:bookmarkEnd w:id="4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127750"/>
            <wp:effectExtent l="19050" t="0" r="0" b="0"/>
            <wp:wrapNone/>
            <wp:docPr id="65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12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1060"/>
        <w:gridCol w:w="6200"/>
        <w:gridCol w:w="60"/>
        <w:gridCol w:w="1580"/>
        <w:gridCol w:w="20"/>
        <w:gridCol w:w="40"/>
        <w:gridCol w:w="1920"/>
        <w:gridCol w:w="20"/>
        <w:gridCol w:w="420"/>
        <w:gridCol w:w="20"/>
        <w:gridCol w:w="96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900" w:type="dxa"/>
            <w:gridSpan w:val="5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selezione delle offerte con il criterio del miglior rapporto qualità/prezzo (art. 95 c. 3, 6 e 8)</w:t>
            </w:r>
          </w:p>
        </w:tc>
        <w:tc>
          <w:tcPr>
            <w:tcW w:w="604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8"/>
              </w:rPr>
              <w:t xml:space="preserve">□  </w:t>
            </w:r>
            <w:r>
              <w:rPr>
                <w:rFonts w:ascii="Arial" w:eastAsia="Arial" w:hAnsi="Arial"/>
                <w:b/>
                <w:sz w:val="19"/>
              </w:rPr>
              <w:t>Linee guida ANAC n. 2/2016</w:t>
            </w:r>
          </w:p>
        </w:tc>
      </w:tr>
      <w:tr w:rsidR="000B0ACB">
        <w:trPr>
          <w:trHeight w:val="116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900" w:type="dxa"/>
            <w:gridSpan w:val="5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4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4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  <w:sz w:val="28"/>
              </w:rPr>
            </w:pPr>
            <w:r>
              <w:rPr>
                <w:rFonts w:ascii="Arial" w:eastAsia="Arial" w:hAnsi="Arial"/>
                <w:b/>
                <w:sz w:val="28"/>
              </w:rPr>
              <w:t>□</w:t>
            </w:r>
          </w:p>
        </w:tc>
      </w:tr>
      <w:tr w:rsidR="000B0ACB">
        <w:trPr>
          <w:trHeight w:val="42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0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selezione sulla base del prezzo o costo fisso in base a criteri qualitativi (art. 95 c.7)</w:t>
            </w:r>
          </w:p>
        </w:tc>
        <w:tc>
          <w:tcPr>
            <w:tcW w:w="604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38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atto di nomina commissione giudicatrice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77 e 78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5/2016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correttezza dei criteri di nomina secondo regole di competenza e trasparenza preventivamente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29, 42, 77, 78 e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individuate  da  ciascuna  stazione  appaltante  (termini,  composizione  e  pubblicità)  e  delle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12</w:t>
            </w: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dichiarazioni sull’assenza del conflitto d’interesse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E.2.2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e completezza del verbale (riferimenti procedura, seduta pubblica, elenco invitati e</w:t>
            </w:r>
          </w:p>
        </w:tc>
        <w:tc>
          <w:tcPr>
            <w:tcW w:w="1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offerte  pervenute,  esito  esame  documentazione  amministrativa,  esclusioni  e  ammissioni,</w:t>
            </w:r>
          </w:p>
        </w:tc>
        <w:tc>
          <w:tcPr>
            <w:tcW w:w="1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graduatoria, anomalia offerte, proposta di aggiudicazione)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E.2.3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correttezza  della  valutazione  dell'offerta  tecnica  (rispetto  elementi  e  rispettivi  parametri  di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valutazione, esame sistema prescelto, eventuale correttezza dei metodi di riparametrazione)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E.2.4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dell'offerta economica (solo per miglior rapporto qualità/prezzo)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(offerte inferiori base di gara, non condizionate, non parziali, verifica eventuali calcoli composizione</w:t>
            </w:r>
          </w:p>
        </w:tc>
        <w:tc>
          <w:tcPr>
            <w:tcW w:w="1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prezzo offerto)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E.2.5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svolgimento della verifica in contraddittorio delle offerte anomale (da parte del RUP con il supporto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97 - Linee guida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E.2.6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nell’offerta economica l’operatore ha indicato i propri costi della manodopera e gli oneri aziendali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concernenti l’adempimento delle disposizioni in materia di salute e sicurezza sui luoghi di lavoro</w:t>
            </w:r>
          </w:p>
        </w:tc>
        <w:tc>
          <w:tcPr>
            <w:tcW w:w="1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(no nelle forniture senza posa in opera, servizi di natura intellettuale e degli affidamenti sotto</w:t>
            </w:r>
          </w:p>
        </w:tc>
        <w:tc>
          <w:tcPr>
            <w:tcW w:w="1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6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40.000 €).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E.2.7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verificata la congruità del costo manodopera prima dell’aggiudicazione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95, c. 10</w:t>
            </w: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E.2.8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E.2.9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E.2.10</w:t>
            </w: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controllo sul possesso dei requisiti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(Decreto MIT per Banca dati nazionale operatori economici – nelle more AVCPass)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requisiti generali (DURC, Casellario impresa e singoli soggetti in carica o cessati o soggetti in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60" w:type="dxa"/>
            <w:gridSpan w:val="6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</w:t>
            </w:r>
          </w:p>
        </w:tc>
        <w:tc>
          <w:tcPr>
            <w:tcW w:w="60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8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6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45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49" w:name="page47"/>
      <w:bookmarkEnd w:id="4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586730"/>
            <wp:effectExtent l="19050" t="0" r="0" b="0"/>
            <wp:wrapNone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60"/>
        <w:gridCol w:w="8900"/>
        <w:gridCol w:w="20"/>
        <w:gridCol w:w="1960"/>
        <w:gridCol w:w="20"/>
        <w:gridCol w:w="420"/>
        <w:gridCol w:w="20"/>
        <w:gridCol w:w="96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3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33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E.2.11   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 definitiva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E.2.13   pubblicazione dell'esito della gara (decreto MIT 2.12.2016)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98 allegato XIV,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Parte I, lettera D</w:t>
            </w: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E.2.14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76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E.2.15   rispetto della normativa sulla tracciabilità (presenza CIG su documentazione di gara, contratto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8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46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0" w:name="page48"/>
      <w:bookmarkEnd w:id="50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417830</wp:posOffset>
            </wp:positionV>
            <wp:extent cx="10117455" cy="5589270"/>
            <wp:effectExtent l="19050" t="0" r="0" b="0"/>
            <wp:wrapNone/>
            <wp:docPr id="67" name="Immagin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97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M – Checklist – SERVIZI ATTINENTI ALL’ARCHITETTURA E INGEGNERIA</w:t>
      </w:r>
    </w:p>
    <w:p w:rsidR="000B0ACB" w:rsidRDefault="000B0ACB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8900"/>
        <w:gridCol w:w="1760"/>
        <w:gridCol w:w="1160"/>
        <w:gridCol w:w="1040"/>
        <w:gridCol w:w="20"/>
        <w:gridCol w:w="2120"/>
      </w:tblGrid>
      <w:tr w:rsidR="000B0ACB">
        <w:trPr>
          <w:trHeight w:val="241"/>
        </w:trPr>
        <w:tc>
          <w:tcPr>
            <w:tcW w:w="978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1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11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NP  Doc.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5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NOTE</w:t>
            </w:r>
          </w:p>
        </w:tc>
      </w:tr>
      <w:tr w:rsidR="000B0ACB">
        <w:trPr>
          <w:trHeight w:val="24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2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224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23 c. 2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6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A – PRESUPPOSTI (no per progettazione di lavori di particolare rilevanza sotto il profilo architettonico,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ambientale,  paesaggistico,  agronomico  e  forestale,  storico-artistico,  conservativo,  tecnologico:  solo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progettisti interni o tramite concorso di progettazione o concorso di idee)</w:t>
            </w:r>
          </w:p>
        </w:tc>
        <w:tc>
          <w:tcPr>
            <w:tcW w:w="29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 n. 1/2016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del Ministro giustizia 17.06.2016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9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 n. 263/2016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rappresenta un frazionamento artificioso di un appalto sopra soglia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8"/>
        </w:trPr>
        <w:tc>
          <w:tcPr>
            <w:tcW w:w="97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la procedura utilizzata non è stata soggetta ad alcun apparente conflitto di interessi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8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progettazione di fattibilità tecnico-economica, definitiva ed esecutiva di lavori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31 c. 8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coordinamento della sicurezza in fase di progettazione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direzione lavori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365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coordinamento della sicurezza in fase di esecuzione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4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incarichi supporto tecnico-amministrativo all’attività del RUP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31 c. 8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8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incarichi supporto tecnico-amministrativo all’attività del dirigente competente programmazione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collaudo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soggetto affidatario rientra tra quelli previsti dalla norma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46 c. 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A.3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sono state rispettate le condizioni di incompatibilità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7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A.4</w:t>
            </w: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è stata calcolata la base di gara sulla base del Decreto del Ministro della giustizia 17.06.2016</w:t>
            </w: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8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9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341"/>
        </w:trPr>
        <w:tc>
          <w:tcPr>
            <w:tcW w:w="97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 - PROCEDURA</w:t>
            </w:r>
          </w:p>
        </w:tc>
        <w:tc>
          <w:tcPr>
            <w:tcW w:w="29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 n. 1/2016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8"/>
        </w:trPr>
        <w:tc>
          <w:tcPr>
            <w:tcW w:w="97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46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21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47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1" w:name="page49"/>
      <w:bookmarkEnd w:id="5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937250"/>
            <wp:effectExtent l="19050" t="0" r="0" b="0"/>
            <wp:wrapNone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93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8940"/>
        <w:gridCol w:w="1980"/>
        <w:gridCol w:w="420"/>
        <w:gridCol w:w="370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B.1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procedure ordinarie per incarichi pari o superiori a 100.000 euro (v. procedure aperta e ristretta)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2</w:t>
            </w:r>
          </w:p>
        </w:tc>
      </w:tr>
      <w:tr w:rsidR="000B0ACB">
        <w:trPr>
          <w:trHeight w:val="157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B.2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procedura negoziata senza bando con invito ad almeno 5 operatori per incarichi pari o superiori a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2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40.000 e inferiori a 100.000 euro (v. procedura art. 36 c. 2 lett. b – di seguito)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B.3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affidamento diretto per incarichi inferiori a € 40.000 euro (v. procedura art. 36 c. 2 lett. a)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31 c. 8</w:t>
            </w:r>
          </w:p>
        </w:tc>
      </w:tr>
      <w:tr w:rsidR="000B0ACB">
        <w:trPr>
          <w:trHeight w:val="232"/>
        </w:trPr>
        <w:tc>
          <w:tcPr>
            <w:tcW w:w="97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459"/>
        </w:trPr>
        <w:tc>
          <w:tcPr>
            <w:tcW w:w="97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 - PRESENTAZIONE DELLE OFFERTE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6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invito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procedura negoziata senza bando per incarichi pari o superiori a 40.000 e inferiori a 100.000 euro: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157 c. 2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numero minimo di soggetti da invitare almeno 5 operatori economici (“se sussistono in tale numero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soggetti idonei”) individuati sulla base di informazioni riguardanti le caratteristiche di qualificazione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economica e finanziaria e tecniche e professionali desunte dal mercato, nel rispetto dei principi di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trasparenza, concorrenza, rotazione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affidamento diretto per incarichi inferiori a € 40.000 euro (v. procedura art. 36 c. 2 lett. a)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31 c. 8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C.3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contenuto dell'invito è conforme alla normativa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75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C.4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 termini previsti per la presentazione dell'offerta sono conformi alla normativa</w:t>
            </w:r>
          </w:p>
        </w:tc>
        <w:tc>
          <w:tcPr>
            <w:tcW w:w="610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63 e 36 c. 9</w:t>
            </w:r>
          </w:p>
        </w:tc>
      </w:tr>
      <w:tr w:rsidR="000B0ACB">
        <w:trPr>
          <w:trHeight w:val="10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C.5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 offerte sono pervenute nei termini previsti dalla lettera di invito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0B0ACB" w:rsidRDefault="000B0ACB">
      <w:pPr>
        <w:spacing w:line="23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 - SELEZIONE DELLE OFFERTE</w:t>
      </w:r>
    </w:p>
    <w:p w:rsidR="000B0ACB" w:rsidRDefault="000B0ACB">
      <w:pPr>
        <w:spacing w:line="29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20"/>
        <w:gridCol w:w="60"/>
        <w:gridCol w:w="5020"/>
        <w:gridCol w:w="3820"/>
        <w:gridCol w:w="2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9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</w:t>
            </w: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selezione delle offerte con il criterio del prezzo più basso</w:t>
            </w:r>
          </w:p>
        </w:tc>
        <w:tc>
          <w:tcPr>
            <w:tcW w:w="3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1"/>
        </w:trPr>
        <w:tc>
          <w:tcPr>
            <w:tcW w:w="9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D.1.1</w:t>
            </w: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solo per incarichi inferiori a € 40.000 euro può essere utilizzato tale criterio e c’è motivazione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 c. 4 e 5</w:t>
            </w:r>
          </w:p>
        </w:tc>
      </w:tr>
      <w:tr w:rsidR="000B0ACB">
        <w:trPr>
          <w:trHeight w:val="10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9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D.1.2</w:t>
            </w: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esame offerta: RUP oppure Seggio di gara (RUP e 2 testimoni) oppure Commissione di gara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secondo gli ordinamenti interni (no Commissione giudicatrice)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3/2016</w:t>
            </w: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D.1.3</w:t>
            </w: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presenza e completezza del verbale (riferimenti procedura, seduta pubblica, elenco invitati 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pervenute, esito esame documentazione amministrativa, esclusioni e ammissioni, graduatoria,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D.1.4</w:t>
            </w: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 prezzo (offerte inferiori base di gara, non condizionate, non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parziali, verifica eventuali calcoli composizione prezzo offerto)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6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48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2" w:name="page50"/>
      <w:bookmarkEnd w:id="52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895975"/>
            <wp:effectExtent l="19050" t="0" r="0" b="0"/>
            <wp:wrapNone/>
            <wp:docPr id="69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89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20"/>
        <w:gridCol w:w="20"/>
        <w:gridCol w:w="8900"/>
        <w:gridCol w:w="2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svolgimento della verifica in contraddittorio delle offerte anomale (a cura del RUP o di apposita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– Linee guida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Commissione nominata ad hoc)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solo per gare di importo inferiore alle soglie europee: possibile esclusione automatica delle offerte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c. 8</w:t>
            </w: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anomale (se prevista su bando e se almeno dieci offerte)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10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controllo sul possesso dei requisiti (Decreto MIT per Banca dati nazionale operatori economici –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nelle more AVCPass) - Decreto MIT n. 263/2016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10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0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requisiti generali (DURC, Casellario impresa e singoli soggetti in carica o cessati o soggetti in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35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 – iscrizione Albo 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5</w:t>
            </w: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299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 n.</w:t>
            </w:r>
          </w:p>
        </w:tc>
      </w:tr>
      <w:tr w:rsidR="000B0ACB">
        <w:trPr>
          <w:trHeight w:val="22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263/2016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296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 n.</w:t>
            </w:r>
          </w:p>
        </w:tc>
      </w:tr>
      <w:tr w:rsidR="000B0ACB">
        <w:trPr>
          <w:trHeight w:val="22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0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263/2016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0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6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5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22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49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3" w:name="page51"/>
      <w:bookmarkEnd w:id="5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046470"/>
            <wp:effectExtent l="19050" t="0" r="0" b="0"/>
            <wp:wrapNone/>
            <wp:docPr id="70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4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8780"/>
        <w:gridCol w:w="6260"/>
      </w:tblGrid>
      <w:tr w:rsidR="000B0ACB">
        <w:trPr>
          <w:trHeight w:val="230"/>
        </w:trPr>
        <w:tc>
          <w:tcPr>
            <w:tcW w:w="96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D.1.12   pubblicazione dell'esito della gara (decreto MIT 2.12.2016)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98</w:t>
            </w:r>
          </w:p>
        </w:tc>
      </w:tr>
      <w:tr w:rsidR="000B0ACB">
        <w:trPr>
          <w:trHeight w:val="280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1"/>
        </w:trPr>
        <w:tc>
          <w:tcPr>
            <w:tcW w:w="96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D.1.13   presenza del contratto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5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del termine dilatorio per la stipulazione del contratto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 c. 9</w:t>
            </w:r>
          </w:p>
        </w:tc>
      </w:tr>
      <w:tr w:rsidR="000B0ACB">
        <w:trPr>
          <w:trHeight w:val="25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10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9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962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D.1.14   rispetto della normativa sulla tracciabilità (presenza CIG su documentazione di gara, contratto e</w:t>
            </w:r>
          </w:p>
        </w:tc>
        <w:tc>
          <w:tcPr>
            <w:tcW w:w="6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626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</w:tr>
      <w:tr w:rsidR="000B0ACB">
        <w:trPr>
          <w:trHeight w:val="6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7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6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tabs>
          <w:tab w:val="left" w:pos="2320"/>
        </w:tabs>
        <w:spacing w:line="185" w:lineRule="auto"/>
        <w:ind w:left="80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25"/>
          <w:vertAlign w:val="subscript"/>
        </w:rPr>
        <w:lastRenderedPageBreak/>
        <w:t>D.2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5"/>
          <w:u w:val="single"/>
        </w:rPr>
        <w:t>selezione delle offerte con il criterio del miglior rapporto qualità/prezzo</w:t>
      </w:r>
      <w:r>
        <w:rPr>
          <w:rFonts w:ascii="Arial" w:eastAsia="Arial" w:hAnsi="Arial"/>
          <w:b/>
          <w:sz w:val="15"/>
        </w:rPr>
        <w:t xml:space="preserve"> (art. 95 c. 3, 6 e 8)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1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2340"/>
        <w:rPr>
          <w:rFonts w:ascii="Arial" w:eastAsia="Arial" w:hAnsi="Arial"/>
          <w:b/>
        </w:rPr>
      </w:pPr>
      <w:r>
        <w:rPr>
          <w:rFonts w:ascii="Arial" w:eastAsia="Arial" w:hAnsi="Arial"/>
          <w:b/>
          <w:u w:val="single"/>
        </w:rPr>
        <w:t>selezione sulla base del prezzo o costo fisso in base a criteri qualitativi</w:t>
      </w:r>
      <w:r>
        <w:rPr>
          <w:rFonts w:ascii="Arial" w:eastAsia="Arial" w:hAnsi="Arial"/>
          <w:b/>
        </w:rPr>
        <w:t xml:space="preserve"> (art. 95 c.7)</w:t>
      </w:r>
    </w:p>
    <w:p w:rsidR="000B0ACB" w:rsidRDefault="000B0ACB">
      <w:pPr>
        <w:spacing w:line="113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br w:type="column"/>
      </w:r>
    </w:p>
    <w:p w:rsidR="000B0ACB" w:rsidRDefault="000B0ACB" w:rsidP="000B0ACB">
      <w:pPr>
        <w:numPr>
          <w:ilvl w:val="0"/>
          <w:numId w:val="25"/>
        </w:numPr>
        <w:tabs>
          <w:tab w:val="left" w:pos="386"/>
        </w:tabs>
        <w:spacing w:line="0" w:lineRule="atLeast"/>
        <w:ind w:left="386" w:hanging="386"/>
        <w:rPr>
          <w:rFonts w:ascii="Arial" w:eastAsia="Arial" w:hAnsi="Arial"/>
          <w:b/>
          <w:sz w:val="27"/>
        </w:rPr>
      </w:pPr>
      <w:r>
        <w:rPr>
          <w:rFonts w:ascii="Arial" w:eastAsia="Arial" w:hAnsi="Arial"/>
          <w:b/>
          <w:sz w:val="19"/>
        </w:rPr>
        <w:t>Linee guida ANAC n. 2/2016</w:t>
      </w:r>
    </w:p>
    <w:p w:rsidR="000B0ACB" w:rsidRDefault="000B0ACB">
      <w:pPr>
        <w:spacing w:line="13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6"/>
        <w:rPr>
          <w:rFonts w:ascii="Arial" w:eastAsia="Arial" w:hAnsi="Arial"/>
          <w:b/>
          <w:sz w:val="28"/>
        </w:rPr>
      </w:pPr>
      <w:r>
        <w:rPr>
          <w:rFonts w:ascii="Arial" w:eastAsia="Arial" w:hAnsi="Arial"/>
          <w:b/>
          <w:sz w:val="28"/>
        </w:rPr>
        <w:t>□</w:t>
      </w:r>
    </w:p>
    <w:p w:rsidR="000B0ACB" w:rsidRDefault="000B0ACB">
      <w:pPr>
        <w:spacing w:line="0" w:lineRule="atLeast"/>
        <w:ind w:left="6"/>
        <w:rPr>
          <w:rFonts w:ascii="Arial" w:eastAsia="Arial" w:hAnsi="Arial"/>
          <w:b/>
          <w:sz w:val="28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10334" w:space="720"/>
            <w:col w:w="4826"/>
          </w:cols>
          <w:docGrid w:linePitch="360"/>
        </w:sectPr>
      </w:pPr>
    </w:p>
    <w:p w:rsidR="000B0ACB" w:rsidRDefault="000B0ACB">
      <w:pPr>
        <w:spacing w:line="7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894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D.2.1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atto di nomina commissione giudicatrice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77 e 78</w:t>
            </w:r>
          </w:p>
        </w:tc>
      </w:tr>
      <w:tr w:rsidR="000B0ACB">
        <w:trPr>
          <w:trHeight w:val="29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 5/2016</w:t>
            </w: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correttezza dei criteri di nomina secondo regole di competenza e trasparenza preventivamente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29, 42, 77, 78 e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individuate  da  ciascuna  stazione  appaltante  (termini,  composizione  e  pubblicità)  e  delle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216 c. 12</w:t>
            </w: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dichiarazioni sull’assenza del conflitto d’interesse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D.2.2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presenza e completezza del verbale (riferimenti procedura, seduta pubblica, elenco invitati e offerte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pervenute, esito esame documentazione amministrativa, esclusioni e ammissioni, graduatoria,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anomalia offerte, proposta di aggiudicazione)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D.2.3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correttezza  della  valutazione  dell'offerta  tecnica  (rispetto  elementi  e  rispettivi  parametri  di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2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valutazione, esame sistema prescelto, eventuale correttezza dei metodi di riparametrazione)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D.2.4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correttezza della valutazione dell'offerta economica (solo per miglior rapporto qualità/prezzo)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95</w:t>
            </w:r>
          </w:p>
        </w:tc>
      </w:tr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(offerte inferiori base di gara, non condizionate, non parziali, verifica eventuali calcoli composizione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prezzo offerto)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8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D.2.5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svolgimento della verifica in contraddittorio delle offerte anomale (da parte del RUP con il supporto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97 – Linee guida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della Commissione giudicatrice)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3/2016</w:t>
            </w: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D.2.6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della proposta di aggiudicazione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70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D.2.7</w:t>
            </w:r>
          </w:p>
        </w:tc>
        <w:tc>
          <w:tcPr>
            <w:tcW w:w="89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comunicazioni di eventuali esclusioni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6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9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50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4" w:name="page52"/>
      <w:bookmarkEnd w:id="54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129020"/>
            <wp:effectExtent l="19050" t="0" r="0" b="0"/>
            <wp:wrapNone/>
            <wp:docPr id="71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12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0"/>
        <w:gridCol w:w="20"/>
        <w:gridCol w:w="892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e dei contenuti delle comunicazioni di esclusione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56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controllo sul possesso dei requisiti (Decreto MIT per Banca dati nazionale operatori economici –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81 e 82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nelle more AVCPass) - Decreto MIT n. 263/2016</w:t>
            </w:r>
          </w:p>
        </w:tc>
        <w:tc>
          <w:tcPr>
            <w:tcW w:w="6100" w:type="dxa"/>
            <w:gridSpan w:val="9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216 c. 13</w:t>
            </w:r>
          </w:p>
        </w:tc>
      </w:tr>
      <w:tr w:rsidR="000B0ACB">
        <w:trPr>
          <w:trHeight w:val="6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100" w:type="dxa"/>
            <w:gridSpan w:val="9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requisiti generali (DURC, Casellario impresa e singoli soggetti in carica o cessati o soggetti in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80 - Linee guida</w:t>
            </w:r>
          </w:p>
        </w:tc>
      </w:tr>
      <w:tr w:rsidR="000B0ACB">
        <w:trPr>
          <w:trHeight w:val="228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carica su operazioni di trasformazione societaria, regolarità fiscale, regolarità disabili)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ANAC n. 6/2016</w:t>
            </w: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requisiti di idoneità professionale – iscrizione Albo professionale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a</w:t>
            </w:r>
          </w:p>
        </w:tc>
      </w:tr>
      <w:tr w:rsidR="000B0ACB">
        <w:trPr>
          <w:trHeight w:val="29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24 c. 5</w:t>
            </w: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economico-finanziaria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b</w:t>
            </w:r>
          </w:p>
        </w:tc>
      </w:tr>
      <w:tr w:rsidR="000B0ACB">
        <w:trPr>
          <w:trHeight w:val="299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 n.</w:t>
            </w:r>
          </w:p>
        </w:tc>
      </w:tr>
      <w:tr w:rsidR="000B0ACB">
        <w:trPr>
          <w:trHeight w:val="22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263/2016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capacità tecnico-professionale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 lett. c</w:t>
            </w:r>
          </w:p>
        </w:tc>
      </w:tr>
      <w:tr w:rsidR="000B0ACB">
        <w:trPr>
          <w:trHeight w:val="299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 n.</w:t>
            </w:r>
          </w:p>
        </w:tc>
      </w:tr>
      <w:tr w:rsidR="000B0ACB">
        <w:trPr>
          <w:trHeight w:val="22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263/2016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rating di impresa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83 c. 10</w:t>
            </w:r>
          </w:p>
        </w:tc>
      </w:tr>
      <w:tr w:rsidR="000B0ACB">
        <w:trPr>
          <w:trHeight w:val="29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0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</w:t>
            </w: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possesso attestato SOA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84</w:t>
            </w:r>
          </w:p>
        </w:tc>
      </w:tr>
      <w:tr w:rsidR="000B0ACB">
        <w:trPr>
          <w:trHeight w:val="337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□ </w:t>
            </w:r>
            <w:r>
              <w:rPr>
                <w:rFonts w:ascii="Arial" w:eastAsia="Arial" w:hAnsi="Arial"/>
                <w:b/>
                <w:sz w:val="19"/>
              </w:rPr>
              <w:t>con avvalimento</w:t>
            </w:r>
            <w:r>
              <w:rPr>
                <w:rFonts w:ascii="Arial" w:eastAsia="Arial" w:hAnsi="Arial"/>
                <w:b/>
                <w:sz w:val="24"/>
              </w:rPr>
              <w:t xml:space="preserve"> □ </w:t>
            </w:r>
            <w:r>
              <w:rPr>
                <w:rFonts w:ascii="Arial" w:eastAsia="Arial" w:hAnsi="Arial"/>
                <w:b/>
                <w:sz w:val="19"/>
              </w:rPr>
              <w:t>senza avvalimento</w:t>
            </w:r>
          </w:p>
        </w:tc>
        <w:tc>
          <w:tcPr>
            <w:tcW w:w="610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aggiudicazione (decreto o determina di aggiudicazione)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32</w:t>
            </w:r>
          </w:p>
        </w:tc>
      </w:tr>
      <w:tr w:rsidR="000B0ACB">
        <w:trPr>
          <w:trHeight w:val="210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aggiudicazione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72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4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rispetto dei termini per l'invio della comunicazione e dei suoi contenuti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</w:t>
            </w:r>
          </w:p>
        </w:tc>
      </w:tr>
      <w:tr w:rsidR="000B0ACB">
        <w:trPr>
          <w:trHeight w:val="253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pubblicazione dell'esito della gara (decreto MIT 2.12.2016)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artt. 72 e 98</w:t>
            </w:r>
          </w:p>
        </w:tc>
      </w:tr>
      <w:tr w:rsidR="000B0ACB">
        <w:trPr>
          <w:trHeight w:val="263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D.2.12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contratto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70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comunicazione data stipula contratto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76 c. 5 lett. d)</w:t>
            </w:r>
          </w:p>
        </w:tc>
      </w:tr>
      <w:tr w:rsidR="000B0ACB">
        <w:trPr>
          <w:trHeight w:val="265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degli elementi essenziali del contratto (parti, oggetto, importo)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16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8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D.2.13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rispetto della normativa sulla tracciabilità (presenza CIG su documentazione di gara, contratto e</w:t>
            </w:r>
          </w:p>
        </w:tc>
        <w:tc>
          <w:tcPr>
            <w:tcW w:w="610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64"/>
        </w:trPr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6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51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20"/>
        <w:rPr>
          <w:rFonts w:ascii="Arial" w:eastAsia="Arial" w:hAnsi="Arial"/>
          <w:b/>
        </w:rPr>
      </w:pPr>
      <w:bookmarkStart w:id="55" w:name="page53"/>
      <w:bookmarkEnd w:id="55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-547370</wp:posOffset>
            </wp:positionH>
            <wp:positionV relativeFrom="paragraph">
              <wp:posOffset>123825</wp:posOffset>
            </wp:positionV>
            <wp:extent cx="572770" cy="220345"/>
            <wp:effectExtent l="19050" t="0" r="0" b="0"/>
            <wp:wrapNone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5660390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6920865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4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7192010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5" name="Immagin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7552055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6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7823200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7" name="Immagin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8184515</wp:posOffset>
            </wp:positionH>
            <wp:positionV relativeFrom="paragraph">
              <wp:posOffset>123825</wp:posOffset>
            </wp:positionV>
            <wp:extent cx="34290" cy="220345"/>
            <wp:effectExtent l="19050" t="0" r="3810" b="0"/>
            <wp:wrapNone/>
            <wp:docPr id="78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9534525</wp:posOffset>
            </wp:positionH>
            <wp:positionV relativeFrom="paragraph">
              <wp:posOffset>114300</wp:posOffset>
            </wp:positionV>
            <wp:extent cx="34290" cy="229870"/>
            <wp:effectExtent l="19050" t="0" r="3810" b="0"/>
            <wp:wrapNone/>
            <wp:docPr id="79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22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6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920"/>
        <w:gridCol w:w="198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44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strumenti di pagamento)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right="98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5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336550</wp:posOffset>
            </wp:positionV>
            <wp:extent cx="4954270" cy="5033010"/>
            <wp:effectExtent l="19050" t="0" r="0" b="0"/>
            <wp:wrapNone/>
            <wp:docPr id="80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70" cy="5033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02" w:right="398" w:bottom="167" w:left="1400" w:header="0" w:footer="0" w:gutter="0"/>
          <w:cols w:space="0" w:equalWidth="0">
            <w:col w:w="1504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80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52</w:t>
      </w:r>
    </w:p>
    <w:p w:rsidR="000B0ACB" w:rsidRDefault="000B0ACB">
      <w:pPr>
        <w:spacing w:line="0" w:lineRule="atLeast"/>
        <w:ind w:left="1280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1400" w:header="0" w:footer="0" w:gutter="0"/>
          <w:cols w:space="0" w:equalWidth="0">
            <w:col w:w="1504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6" w:name="page54"/>
      <w:bookmarkEnd w:id="56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114300</wp:posOffset>
            </wp:positionV>
            <wp:extent cx="9147810" cy="290830"/>
            <wp:effectExtent l="19050" t="0" r="0" b="0"/>
            <wp:wrapNone/>
            <wp:docPr id="81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N – Checklist - AFFIDAMENTI IN HOUSE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262890</wp:posOffset>
            </wp:positionV>
            <wp:extent cx="10117455" cy="5525770"/>
            <wp:effectExtent l="19050" t="0" r="0" b="0"/>
            <wp:wrapNone/>
            <wp:docPr id="8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2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15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60"/>
        <w:gridCol w:w="7500"/>
        <w:gridCol w:w="1520"/>
        <w:gridCol w:w="240"/>
        <w:gridCol w:w="1720"/>
        <w:gridCol w:w="1060"/>
        <w:gridCol w:w="3180"/>
      </w:tblGrid>
      <w:tr w:rsidR="000B0ACB">
        <w:trPr>
          <w:trHeight w:val="241"/>
        </w:trPr>
        <w:tc>
          <w:tcPr>
            <w:tcW w:w="992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1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 NO</w:t>
            </w:r>
          </w:p>
        </w:tc>
        <w:tc>
          <w:tcPr>
            <w:tcW w:w="3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NP  Doc.  NOTE</w:t>
            </w:r>
          </w:p>
        </w:tc>
      </w:tr>
      <w:tr w:rsidR="000B0ACB">
        <w:trPr>
          <w:trHeight w:val="230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5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</w:tr>
      <w:tr w:rsidR="000B0ACB">
        <w:trPr>
          <w:trHeight w:val="193"/>
        </w:trPr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0B0ACB">
        <w:trPr>
          <w:trHeight w:val="221"/>
        </w:trPr>
        <w:tc>
          <w:tcPr>
            <w:tcW w:w="9920" w:type="dxa"/>
            <w:gridSpan w:val="4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A – PRESUPPOSTI (l’affidamento non rientra nell’ambito di applicazione del codice quando sono soddisfatte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221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28"/>
        </w:trPr>
        <w:tc>
          <w:tcPr>
            <w:tcW w:w="9920" w:type="dxa"/>
            <w:gridSpan w:val="4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129" w:lineRule="exact"/>
              <w:ind w:left="8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art. 196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B0ACB">
        <w:trPr>
          <w:trHeight w:val="222"/>
        </w:trPr>
        <w:tc>
          <w:tcPr>
            <w:tcW w:w="9920" w:type="dxa"/>
            <w:gridSpan w:val="4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tutte le condizioni) (motivazione nella determina di indizione). Non si applica il Codice:</w:t>
            </w:r>
          </w:p>
        </w:tc>
        <w:tc>
          <w:tcPr>
            <w:tcW w:w="2780" w:type="dxa"/>
            <w:gridSpan w:val="2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Linee guida ANAC n. 7/2016</w:t>
            </w: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10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gridSpan w:val="2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90"/>
        </w:trPr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0B0ACB">
        <w:trPr>
          <w:trHeight w:val="281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</w:t>
            </w: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Appalto pubblico aggiudicato da un’amministrazione aggiudicatrice a una persona giuridica di diritto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1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28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30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pubblico o di diritto privato. Devono essere soddisfatte tutte le seguenti condizioni (su comprovata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3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dichiarazione dell’amministrazione aggiudicatrice):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152"/>
        </w:trPr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0B0ACB">
        <w:trPr>
          <w:trHeight w:val="261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l’amministrazione aggiudicatrice esercita sulla persona giuridica di cui trattasi un controllo analogo a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20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5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9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30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quello esercitato sui propri servizi (esercita un’influenza determinante sia sugli obiettivi strategici che</w:t>
            </w:r>
          </w:p>
        </w:tc>
        <w:tc>
          <w:tcPr>
            <w:tcW w:w="1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1 lett. a)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2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26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22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sulle decisioni significative della persona giuridica controllata); oppure</w:t>
            </w:r>
          </w:p>
        </w:tc>
        <w:tc>
          <w:tcPr>
            <w:tcW w:w="172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2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20"/>
        </w:trPr>
        <w:tc>
          <w:tcPr>
            <w:tcW w:w="6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5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2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8" w:lineRule="auto"/>
        <w:ind w:left="960" w:right="6020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una persona giuridica diversa, a sua volta controllata allo stesso modo dall’amministrazione aggiudicatrice, esercita sulla persona giuridica di cui trattasi un </w:t>
      </w:r>
      <w:r>
        <w:rPr>
          <w:rFonts w:ascii="Arial" w:eastAsia="Arial" w:hAnsi="Arial"/>
          <w:b/>
          <w:u w:val="single"/>
        </w:rPr>
        <w:t>controllo analogo</w:t>
      </w:r>
      <w:r>
        <w:rPr>
          <w:rFonts w:ascii="Arial" w:eastAsia="Arial" w:hAnsi="Arial"/>
          <w:b/>
        </w:rPr>
        <w:t xml:space="preserve"> a quello esercitato sui propri servizi (esercita un’influenza determinante sia sugli obiettivi strategici che sulle decisioni significative della persona giuridica controllata)</w:t>
      </w:r>
    </w:p>
    <w:p w:rsidR="000B0ACB" w:rsidRDefault="000B0ACB">
      <w:pPr>
        <w:spacing w:line="13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  <w:u w:val="single"/>
        </w:rPr>
        <w:t>oltre l’80 per cento delle attività</w:t>
      </w:r>
      <w:r>
        <w:rPr>
          <w:rFonts w:ascii="Arial" w:eastAsia="Arial" w:hAnsi="Arial"/>
          <w:b/>
        </w:rPr>
        <w:t xml:space="preserve"> della persona giuridica controllata è effettuata nello svolgimento dei  art. 5 c. 1 lett. b)</w:t>
      </w:r>
    </w:p>
    <w:p w:rsidR="000B0ACB" w:rsidRDefault="000B0ACB">
      <w:pPr>
        <w:spacing w:line="237" w:lineRule="auto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compiti ad essa affidati dall’amministrazione aggiudicatrice controllante o da altre persone giuridiche</w:t>
      </w:r>
    </w:p>
    <w:p w:rsidR="000B0ACB" w:rsidRDefault="000B0ACB">
      <w:pPr>
        <w:spacing w:line="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controllate dall’amministrazione aggiudicatrice di cui trattasi</w:t>
      </w:r>
    </w:p>
    <w:p w:rsidR="000B0ACB" w:rsidRDefault="000B0ACB">
      <w:pPr>
        <w:spacing w:line="21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nella persona giuridica controllata </w:t>
      </w:r>
      <w:r>
        <w:rPr>
          <w:rFonts w:ascii="Arial" w:eastAsia="Arial" w:hAnsi="Arial"/>
          <w:b/>
          <w:u w:val="single"/>
        </w:rPr>
        <w:t>non vi è alcuna partecipazione diretta di capitali privati</w:t>
      </w:r>
      <w:r>
        <w:rPr>
          <w:rFonts w:ascii="Arial" w:eastAsia="Arial" w:hAnsi="Arial"/>
          <w:b/>
        </w:rPr>
        <w:t>, ad  art. 5 c. 1 lett. c)</w:t>
      </w:r>
    </w:p>
    <w:p w:rsidR="000B0ACB" w:rsidRDefault="000B0ACB">
      <w:pPr>
        <w:spacing w:line="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960" w:right="6020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eccezione di forme di partecipazione di </w:t>
      </w:r>
      <w:r>
        <w:rPr>
          <w:rFonts w:ascii="Arial" w:eastAsia="Arial" w:hAnsi="Arial"/>
          <w:b/>
          <w:u w:val="single"/>
        </w:rPr>
        <w:t>capitali privati le quali non comportano controllo o potere di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u w:val="single"/>
        </w:rPr>
        <w:t>veto</w:t>
      </w:r>
      <w:r>
        <w:rPr>
          <w:rFonts w:ascii="Arial" w:eastAsia="Arial" w:hAnsi="Arial"/>
          <w:b/>
        </w:rPr>
        <w:t xml:space="preserve"> previste dalla legislazione nazionale, in conformità dei trattati, che non esercitano un'influenza determinante sulla persona giuridica controllata</w:t>
      </w:r>
    </w:p>
    <w:p w:rsidR="000B0ACB" w:rsidRDefault="000B0ACB">
      <w:pPr>
        <w:spacing w:line="14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237" w:lineRule="auto"/>
        <w:ind w:left="960" w:right="5060" w:hanging="8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pubblico aggiudicato da una persona giuridica controllata che è un’amministrazione art. 5 c. 3 aggiudicatrice, alla propria amministrazione aggiudicatrice controllante o ad un altro soggetto giuridico controllato dalla stessa amministrazione aggiudicatrice. Deve essere soddisfatta una delle seguenti condizioni:</w:t>
      </w:r>
    </w:p>
    <w:p w:rsidR="000B0ACB" w:rsidRDefault="000B0ACB">
      <w:pPr>
        <w:spacing w:line="14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960" w:right="602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</w:rPr>
        <w:t xml:space="preserve">nella persona giuridica alla quale viene aggiudicato l’appalto pubblico </w:t>
      </w:r>
      <w:r>
        <w:rPr>
          <w:rFonts w:ascii="Arial" w:eastAsia="Arial" w:hAnsi="Arial"/>
          <w:b/>
          <w:u w:val="single"/>
        </w:rPr>
        <w:t>non c’è alcuna partecipazione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u w:val="single"/>
        </w:rPr>
        <w:t>diretta di capitali privati</w:t>
      </w:r>
    </w:p>
    <w:p w:rsidR="000B0ACB" w:rsidRDefault="000B0ACB">
      <w:pPr>
        <w:spacing w:line="25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84" w:lineRule="auto"/>
        <w:ind w:left="960" w:right="6020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</w:rPr>
        <w:t xml:space="preserve">nella persona giuridica alla quale viene aggiudicato l’appalto pubblico </w:t>
      </w:r>
      <w:r>
        <w:rPr>
          <w:rFonts w:ascii="Arial" w:eastAsia="Arial" w:hAnsi="Arial"/>
          <w:b/>
          <w:sz w:val="18"/>
          <w:u w:val="single"/>
        </w:rPr>
        <w:t>c’è partecipazione diretta di</w:t>
      </w:r>
      <w:r>
        <w:rPr>
          <w:rFonts w:ascii="Arial" w:eastAsia="Arial" w:hAnsi="Arial"/>
          <w:b/>
          <w:sz w:val="18"/>
        </w:rPr>
        <w:t xml:space="preserve"> </w:t>
      </w:r>
      <w:r>
        <w:rPr>
          <w:rFonts w:ascii="Arial" w:eastAsia="Arial" w:hAnsi="Arial"/>
          <w:b/>
          <w:sz w:val="18"/>
          <w:u w:val="single"/>
        </w:rPr>
        <w:t>capitali privati, ma non comportano controllo o potere di veto prescritte dalle legislazione nazionale,</w:t>
      </w:r>
    </w:p>
    <w:p w:rsidR="000B0ACB" w:rsidRDefault="000B0ACB">
      <w:pPr>
        <w:spacing w:line="284" w:lineRule="auto"/>
        <w:ind w:left="960" w:right="6020"/>
        <w:rPr>
          <w:rFonts w:ascii="Arial" w:eastAsia="Arial" w:hAnsi="Arial"/>
          <w:b/>
          <w:sz w:val="18"/>
          <w:u w:val="single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2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53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7" w:name="page55"/>
      <w:bookmarkEnd w:id="57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031230"/>
            <wp:effectExtent l="19050" t="0" r="0" b="0"/>
            <wp:wrapNone/>
            <wp:docPr id="83" name="Immagin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03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960" w:right="60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in conformità dei trattati, e non esercitano un’influenza determinante sulla persona giuridica controllata</w:t>
      </w: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233" w:lineRule="auto"/>
        <w:ind w:left="960" w:right="5060" w:hanging="8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pubblico aggiudicato da un’amministrazione aggiudicatrice qualora ricorrano le condizioni di art. 5 c. 4 cui al punto A.1, anche in caso di controllo congiunto.</w:t>
      </w:r>
    </w:p>
    <w:p w:rsidR="000B0ACB" w:rsidRDefault="000B0ACB">
      <w:pPr>
        <w:spacing w:line="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184" w:lineRule="auto"/>
        <w:ind w:left="960" w:right="50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Le amministrazioni aggiudicatrici esercitano su una persona giuridica un controllo congiunto quando </w:t>
      </w:r>
      <w:r>
        <w:rPr>
          <w:rFonts w:ascii="Arial" w:eastAsia="Arial" w:hAnsi="Arial"/>
          <w:b/>
          <w:sz w:val="39"/>
          <w:vertAlign w:val="subscript"/>
        </w:rPr>
        <w:t>art. 5 c. 5</w:t>
      </w:r>
      <w:r>
        <w:rPr>
          <w:rFonts w:ascii="Arial" w:eastAsia="Arial" w:hAnsi="Arial"/>
          <w:b/>
        </w:rPr>
        <w:t xml:space="preserve"> sono soddisfatte tutte le seguenti condizioni:</w:t>
      </w:r>
    </w:p>
    <w:p w:rsidR="000B0ACB" w:rsidRDefault="000B0ACB">
      <w:pPr>
        <w:spacing w:line="14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960" w:right="45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gli organi decisionali della persona giuridica controllata sono composti da </w:t>
      </w:r>
      <w:r>
        <w:rPr>
          <w:rFonts w:ascii="Arial" w:eastAsia="Arial" w:hAnsi="Arial"/>
          <w:b/>
          <w:u w:val="single"/>
        </w:rPr>
        <w:t>rappresentanti di tutte le</w:t>
      </w:r>
      <w:r>
        <w:rPr>
          <w:rFonts w:ascii="Arial" w:eastAsia="Arial" w:hAnsi="Arial"/>
          <w:b/>
        </w:rPr>
        <w:t xml:space="preserve"> art. 5 c. 5 lett. a </w:t>
      </w:r>
      <w:r>
        <w:rPr>
          <w:rFonts w:ascii="Arial" w:eastAsia="Arial" w:hAnsi="Arial"/>
          <w:b/>
          <w:u w:val="single"/>
        </w:rPr>
        <w:t>amministrazioni aggiudicatrici partecipanti</w:t>
      </w:r>
      <w:r>
        <w:rPr>
          <w:rFonts w:ascii="Arial" w:eastAsia="Arial" w:hAnsi="Arial"/>
          <w:b/>
        </w:rPr>
        <w:t>. Singoli rappresentanti possono rappresentare varie o tutte le amministrazioni aggiudicatrici</w:t>
      </w:r>
    </w:p>
    <w:p w:rsidR="000B0ACB" w:rsidRDefault="000B0ACB">
      <w:pPr>
        <w:spacing w:line="14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960" w:right="45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tali amministrazioni aggiudicatrici sono in grado di </w:t>
      </w:r>
      <w:r>
        <w:rPr>
          <w:rFonts w:ascii="Arial" w:eastAsia="Arial" w:hAnsi="Arial"/>
          <w:b/>
          <w:u w:val="single"/>
        </w:rPr>
        <w:t>esercitare congiuntamente un’influenza</w:t>
      </w:r>
      <w:r>
        <w:rPr>
          <w:rFonts w:ascii="Arial" w:eastAsia="Arial" w:hAnsi="Arial"/>
          <w:b/>
        </w:rPr>
        <w:t xml:space="preserve"> art. 5 c. 5 lett. b </w:t>
      </w:r>
      <w:r>
        <w:rPr>
          <w:rFonts w:ascii="Arial" w:eastAsia="Arial" w:hAnsi="Arial"/>
          <w:b/>
          <w:u w:val="single"/>
        </w:rPr>
        <w:t>determinante</w:t>
      </w:r>
      <w:r>
        <w:rPr>
          <w:rFonts w:ascii="Arial" w:eastAsia="Arial" w:hAnsi="Arial"/>
          <w:b/>
        </w:rPr>
        <w:t xml:space="preserve"> sugli obiettivi strategici e sulle decisioni significative di detta persona giuridica</w:t>
      </w:r>
    </w:p>
    <w:p w:rsidR="000B0ACB" w:rsidRDefault="000B0ACB">
      <w:pPr>
        <w:spacing w:line="24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960" w:right="45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la persona giuridica controllata </w:t>
      </w:r>
      <w:r>
        <w:rPr>
          <w:rFonts w:ascii="Arial" w:eastAsia="Arial" w:hAnsi="Arial"/>
          <w:b/>
          <w:u w:val="single"/>
        </w:rPr>
        <w:t>non persegue interessi contrari</w:t>
      </w:r>
      <w:r>
        <w:rPr>
          <w:rFonts w:ascii="Arial" w:eastAsia="Arial" w:hAnsi="Arial"/>
          <w:b/>
        </w:rPr>
        <w:t xml:space="preserve"> a quelli delle amministrazioni art. 5 c. 5 lett. c aggiudicatrici controllanti</w:t>
      </w:r>
    </w:p>
    <w:p w:rsidR="000B0ACB" w:rsidRDefault="000B0ACB">
      <w:pPr>
        <w:spacing w:line="243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80"/>
        <w:gridCol w:w="3280"/>
        <w:gridCol w:w="1020"/>
        <w:gridCol w:w="3920"/>
        <w:gridCol w:w="700"/>
        <w:gridCol w:w="120"/>
        <w:gridCol w:w="5960"/>
      </w:tblGrid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A.4</w:t>
            </w: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Un accordo concluso esclusivamente tra due o più amministrazioni aggiudicatrici, quando sono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6</w:t>
            </w:r>
          </w:p>
        </w:tc>
      </w:tr>
      <w:tr w:rsidR="000B0ACB">
        <w:trPr>
          <w:trHeight w:val="226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6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soddisfatte tutte le seguenti condizioni: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98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B0ACB">
        <w:trPr>
          <w:trHeight w:val="263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l’accordo stabilisce o realizza una cooperazione tra le amministrazioni aggiudicatrici partecipanti,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6 lett. a</w:t>
            </w:r>
          </w:p>
        </w:tc>
      </w:tr>
      <w:tr w:rsidR="000B0ACB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2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9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28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29" w:lineRule="exact"/>
              <w:ind w:left="80"/>
              <w:rPr>
                <w:rFonts w:ascii="Arial" w:eastAsia="Arial" w:hAnsi="Arial"/>
                <w:b/>
                <w:w w:val="92"/>
              </w:rPr>
            </w:pPr>
            <w:r>
              <w:rPr>
                <w:rFonts w:ascii="Arial" w:eastAsia="Arial" w:hAnsi="Arial"/>
                <w:b/>
                <w:w w:val="92"/>
              </w:rPr>
              <w:t>finalizzata a garantire che i servizi pubblici che essi sono tenuti a svolgere siano prestati nell’ottica di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3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conseguire gli obiettivi che essi hanno in comune;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61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04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l’attuazione di tale cooperazione è retta solo da considerazioni inerenti all’interesse pubblico</w:t>
            </w: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5 c. 6 lett. b</w:t>
            </w:r>
          </w:p>
        </w:tc>
      </w:tr>
      <w:tr w:rsidR="000B0ACB">
        <w:trPr>
          <w:trHeight w:val="20"/>
        </w:trPr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2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9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0B0ACB" w:rsidRDefault="000B0ACB">
      <w:pPr>
        <w:spacing w:line="36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960" w:right="4520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</w:rPr>
        <w:t xml:space="preserve">le amministrazioni aggiudicatrici partecipanti svolgono </w:t>
      </w:r>
      <w:r>
        <w:rPr>
          <w:rFonts w:ascii="Arial" w:eastAsia="Arial" w:hAnsi="Arial"/>
          <w:b/>
          <w:u w:val="single"/>
        </w:rPr>
        <w:t>sul mercato aperto meno del 20 per cento</w:t>
      </w:r>
      <w:r>
        <w:rPr>
          <w:rFonts w:ascii="Arial" w:eastAsia="Arial" w:hAnsi="Arial"/>
          <w:b/>
        </w:rPr>
        <w:t xml:space="preserve"> art. 5 c. 6 lett. c </w:t>
      </w:r>
      <w:r>
        <w:rPr>
          <w:rFonts w:ascii="Arial" w:eastAsia="Arial" w:hAnsi="Arial"/>
          <w:b/>
          <w:u w:val="single"/>
        </w:rPr>
        <w:t>delle attività interessate dalla cooperazione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 – PROCEDURA – AFFIDAMENTO DIRETTO</w:t>
      </w:r>
    </w:p>
    <w:p w:rsidR="000B0ACB" w:rsidRDefault="000B0ACB">
      <w:pPr>
        <w:spacing w:line="0" w:lineRule="atLeast"/>
        <w:ind w:left="80"/>
        <w:rPr>
          <w:rFonts w:ascii="Arial" w:eastAsia="Arial" w:hAnsi="Arial"/>
          <w:b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2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237" w:lineRule="auto"/>
        <w:ind w:left="960" w:hanging="8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verifica che le amministrazioni aggiudicatrici che operano mediante affidamenti diretti nei confronti di proprie società in house sono iscritte in apposito elenco gestito da ANAC (non ancora operativo – domande di iscrizione dal 30 novembre 2017)</w:t>
      </w:r>
    </w:p>
    <w:p w:rsidR="000B0ACB" w:rsidRDefault="000B0ACB">
      <w:pPr>
        <w:spacing w:line="317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</w:rPr>
        <w:br w:type="column"/>
      </w: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art. 192 c. 1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Linee guida ANAC</w:t>
      </w:r>
    </w:p>
    <w:p w:rsidR="000B0ACB" w:rsidRDefault="000B0ACB">
      <w:pPr>
        <w:spacing w:line="1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n. 7/2016</w:t>
      </w:r>
    </w:p>
    <w:p w:rsidR="000B0ACB" w:rsidRDefault="000B0ACB">
      <w:pPr>
        <w:spacing w:line="0" w:lineRule="atLeast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9820" w:space="180"/>
            <w:col w:w="5880"/>
          </w:cols>
          <w:docGrid w:linePitch="360"/>
        </w:sectPr>
      </w:pP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verifica tutte le condizioni A.1</w:t>
      </w:r>
    </w:p>
    <w:p w:rsidR="000B0ACB" w:rsidRDefault="000B0ACB">
      <w:pPr>
        <w:spacing w:line="60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6"/>
        </w:numPr>
        <w:tabs>
          <w:tab w:val="left" w:pos="1660"/>
        </w:tabs>
        <w:spacing w:line="0" w:lineRule="atLeast"/>
        <w:ind w:left="1660" w:hanging="34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effettivo controllo analogo (tramite documentazione societaria)</w:t>
      </w:r>
    </w:p>
    <w:p w:rsidR="000B0ACB" w:rsidRDefault="000B0ACB">
      <w:pPr>
        <w:spacing w:line="68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0"/>
          <w:numId w:val="26"/>
        </w:numPr>
        <w:tabs>
          <w:tab w:val="left" w:pos="1669"/>
        </w:tabs>
        <w:spacing w:line="236" w:lineRule="auto"/>
        <w:ind w:left="1680" w:right="6020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fatturato totale medio e sua ripartizione (oppure verifica una idonea misura alternativa basata sull’attività, quale i costi sostenuti dalla persona giuridica o amministrazione</w:t>
      </w:r>
    </w:p>
    <w:p w:rsidR="000B0ACB" w:rsidRDefault="000B0ACB">
      <w:pPr>
        <w:tabs>
          <w:tab w:val="left" w:pos="1669"/>
        </w:tabs>
        <w:spacing w:line="236" w:lineRule="auto"/>
        <w:ind w:left="1680" w:right="6020" w:hanging="368"/>
        <w:jc w:val="both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33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54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right="3378"/>
        <w:jc w:val="center"/>
        <w:rPr>
          <w:rFonts w:ascii="Arial" w:eastAsia="Arial" w:hAnsi="Arial"/>
          <w:b/>
          <w:sz w:val="19"/>
        </w:rPr>
      </w:pPr>
      <w:bookmarkStart w:id="58" w:name="page56"/>
      <w:bookmarkEnd w:id="58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116840</wp:posOffset>
            </wp:positionV>
            <wp:extent cx="10117455" cy="5833110"/>
            <wp:effectExtent l="19050" t="0" r="0" b="0"/>
            <wp:wrapNone/>
            <wp:docPr id="84" name="Immagin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83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1600" w:right="497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aggiudicatrice nei settori dei servizi, delle forniture e dei lavori per i tre anni precedenti l’aggiudicazione dell’appalto) (tramite bilanci e contabilità)</w:t>
      </w:r>
    </w:p>
    <w:p w:rsidR="000B0ACB" w:rsidRDefault="000B0ACB">
      <w:pPr>
        <w:spacing w:line="66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7"/>
        </w:numPr>
        <w:tabs>
          <w:tab w:val="left" w:pos="1589"/>
        </w:tabs>
        <w:spacing w:line="238" w:lineRule="auto"/>
        <w:ind w:left="1600" w:right="4978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assenza nella persona giuridica controllata di alcuna partecipazione diretta di capitali privati (ad eccezione di forme di partecipazione di capitali privati previste da norme di legge e che avvengano con modalità che non comportino controllo o potere di veto né l’esercizio di un’influenza determinante sulla persona giuridica controllata) (tramite visura camerale e libro soci)</w:t>
      </w:r>
    </w:p>
    <w:p w:rsidR="000B0ACB" w:rsidRDefault="000B0ACB">
      <w:pPr>
        <w:spacing w:line="138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60"/>
        </w:tabs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B.3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verifica una delle condizioni A.2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8"/>
        </w:numPr>
        <w:tabs>
          <w:tab w:val="left" w:pos="1589"/>
        </w:tabs>
        <w:spacing w:line="234" w:lineRule="auto"/>
        <w:ind w:left="1600" w:right="4978" w:hanging="36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assenza nella persona giuridica controllata di alcuna partecipazione diretta di capitali privati (tramite visura camerale e libro soci)</w:t>
      </w:r>
    </w:p>
    <w:p w:rsidR="000B0ACB" w:rsidRDefault="000B0ACB">
      <w:pPr>
        <w:spacing w:line="6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2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oppure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29"/>
        </w:numPr>
        <w:tabs>
          <w:tab w:val="left" w:pos="1589"/>
        </w:tabs>
        <w:spacing w:line="276" w:lineRule="auto"/>
        <w:ind w:left="1600" w:right="4978" w:hanging="368"/>
        <w:jc w:val="both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la partecipazione diretta di capitali privati non comporta controllo o potere di veto prescritte dalle legislazione nazionale, in conformità dei trattati, e non esercita un’influenza determinante sulla persona giuridica controllata (tramite documentazione societaria)</w:t>
      </w:r>
    </w:p>
    <w:p w:rsidR="000B0ACB" w:rsidRDefault="000B0ACB">
      <w:pPr>
        <w:spacing w:line="10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60"/>
        </w:tabs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B.4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verifica tutte le condizioni A.3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0"/>
        </w:numPr>
        <w:tabs>
          <w:tab w:val="left" w:pos="1589"/>
        </w:tabs>
        <w:spacing w:line="254" w:lineRule="auto"/>
        <w:ind w:left="1600" w:right="4978" w:hanging="368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gli organi decisionali della persona giuridica controllata sono composti da rappresentanti di tutte le amministrazioni aggiudicatrici partecipanti (tramite libro soci e visura camerale)</w:t>
      </w:r>
    </w:p>
    <w:p w:rsidR="000B0ACB" w:rsidRDefault="000B0ACB">
      <w:pPr>
        <w:spacing w:line="55" w:lineRule="exact"/>
        <w:rPr>
          <w:rFonts w:ascii="Arial" w:eastAsia="Arial" w:hAnsi="Arial"/>
          <w:b/>
          <w:sz w:val="19"/>
        </w:rPr>
      </w:pPr>
    </w:p>
    <w:p w:rsidR="000B0ACB" w:rsidRDefault="000B0ACB" w:rsidP="000B0ACB">
      <w:pPr>
        <w:numPr>
          <w:ilvl w:val="0"/>
          <w:numId w:val="30"/>
        </w:numPr>
        <w:tabs>
          <w:tab w:val="left" w:pos="1589"/>
        </w:tabs>
        <w:spacing w:line="237" w:lineRule="auto"/>
        <w:ind w:left="1600" w:right="4978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amministrazioni aggiudicatrici sono in grado di esercitare congiuntamente un’influenza determinante sugli obiettivi strategici e sulle decisioni significative di detta persona giuridica (tramite documentazione societaria)</w:t>
      </w:r>
    </w:p>
    <w:p w:rsidR="000B0ACB" w:rsidRDefault="000B0ACB">
      <w:pPr>
        <w:spacing w:line="69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0"/>
          <w:numId w:val="30"/>
        </w:numPr>
        <w:tabs>
          <w:tab w:val="left" w:pos="1589"/>
        </w:tabs>
        <w:spacing w:line="236" w:lineRule="auto"/>
        <w:ind w:left="1600" w:right="4978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la persona giuridica controllata non persegue interessi contrari a quelli delle amministrazioni aggiudicatrici controllanti (tramite libri sociali e statuti di controllanti e controllata e documentazione societaria)</w:t>
      </w:r>
    </w:p>
    <w:p w:rsidR="000B0ACB" w:rsidRDefault="000B0ACB">
      <w:pPr>
        <w:spacing w:line="137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860"/>
        </w:tabs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B.5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Verifica tutte le condizioni A.4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1"/>
        </w:numPr>
        <w:tabs>
          <w:tab w:val="left" w:pos="1589"/>
        </w:tabs>
        <w:spacing w:line="237" w:lineRule="auto"/>
        <w:ind w:left="1600" w:right="4978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l’accordo stabilisce o realizza una cooperazione tra le amministrazioni aggiudicatrici partecipanti, con garanzia che i servizi pubblici siano prestati nell’ottica di conseguire gli obiettivi che essi hanno in comune (tramite statuti amministrazioni)</w:t>
      </w:r>
    </w:p>
    <w:p w:rsidR="000B0ACB" w:rsidRDefault="000B0ACB">
      <w:pPr>
        <w:spacing w:line="69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0"/>
          <w:numId w:val="31"/>
        </w:numPr>
        <w:tabs>
          <w:tab w:val="left" w:pos="1589"/>
        </w:tabs>
        <w:spacing w:line="236" w:lineRule="auto"/>
        <w:ind w:left="1600" w:right="4978" w:hanging="36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la cooperazione è retta esclusivamente da considerazioni inerenti all’interesse pubblico (tramite documentazione ufficiale)</w:t>
      </w:r>
    </w:p>
    <w:p w:rsidR="000B0ACB" w:rsidRDefault="000B0ACB">
      <w:pPr>
        <w:spacing w:line="66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0"/>
          <w:numId w:val="31"/>
        </w:numPr>
        <w:tabs>
          <w:tab w:val="left" w:pos="1589"/>
        </w:tabs>
        <w:spacing w:line="239" w:lineRule="auto"/>
        <w:ind w:left="1600" w:right="4978" w:hanging="36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le amministrazioni aggiudicatrici partecipanti svolgono sul mercato aperto meno del 20 per cento delle attività interessate dalla cooperazione: fatturato totale medio e sua ripartizione (oppure verifica una idonea misura alternativa basata sull’attività, quale i costi sostenuti dalla persona giuridica o amministrazione aggiudicatrice nei settori dei servizi, delle forniture e dei lavori per i tre anni precedenti l’aggiudicazione dell’appalto) (tramite bilanci e contabilità)</w:t>
      </w:r>
    </w:p>
    <w:p w:rsidR="000B0ACB" w:rsidRDefault="000B0ACB">
      <w:pPr>
        <w:tabs>
          <w:tab w:val="left" w:pos="1589"/>
        </w:tabs>
        <w:spacing w:line="239" w:lineRule="auto"/>
        <w:ind w:left="1600" w:right="4978" w:hanging="368"/>
        <w:jc w:val="both"/>
        <w:rPr>
          <w:rFonts w:ascii="Arial" w:eastAsia="Arial" w:hAnsi="Arial"/>
          <w:b/>
        </w:rPr>
        <w:sectPr w:rsidR="000B0ACB">
          <w:pgSz w:w="16840" w:h="11906" w:orient="landscape"/>
          <w:pgMar w:top="710" w:right="1440" w:bottom="167" w:left="640" w:header="0" w:footer="0" w:gutter="0"/>
          <w:cols w:space="0" w:equalWidth="0">
            <w:col w:w="1475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56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55</w:t>
      </w:r>
    </w:p>
    <w:p w:rsidR="000B0ACB" w:rsidRDefault="000B0ACB">
      <w:pPr>
        <w:spacing w:line="0" w:lineRule="atLeast"/>
        <w:ind w:left="1356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640" w:header="0" w:footer="0" w:gutter="0"/>
          <w:cols w:space="0" w:equalWidth="0">
            <w:col w:w="14758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59" w:name="page57"/>
      <w:bookmarkEnd w:id="59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5586730"/>
            <wp:effectExtent l="19050" t="0" r="0" b="0"/>
            <wp:wrapNone/>
            <wp:docPr id="85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20"/>
        <w:gridCol w:w="20"/>
        <w:gridCol w:w="9060"/>
        <w:gridCol w:w="20"/>
        <w:gridCol w:w="1820"/>
        <w:gridCol w:w="20"/>
        <w:gridCol w:w="400"/>
        <w:gridCol w:w="20"/>
        <w:gridCol w:w="980"/>
        <w:gridCol w:w="20"/>
        <w:gridCol w:w="54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w w:val="91"/>
              </w:rPr>
            </w:pPr>
            <w:r>
              <w:rPr>
                <w:rFonts w:ascii="Arial" w:eastAsia="Arial" w:hAnsi="Arial"/>
                <w:b/>
                <w:w w:val="91"/>
              </w:rPr>
              <w:t>verifica l’obbligo di pubblicazione degli atti connessi all’affidamento diretto sul profilo del committente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192 c. 3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nella sezione Amministrazione trasparente, in formato open-data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B.7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0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verifica l’obbligo di pubblicazione di tutti gli atti connessi all’affidamento degli appalti pubblici e dei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192 c. 3</w:t>
            </w:r>
          </w:p>
        </w:tc>
      </w:tr>
      <w:tr w:rsidR="000B0ACB"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contratti di concessione tra enti nell’ambito del settore pubblico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4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 - PRESENTAZIONE DELL’OFFERTA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4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B0ACB">
        <w:trPr>
          <w:trHeight w:val="279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richiesta di preventivo/presentazione offerta da parte del soggetto in house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6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valutazione sulla congruità economica dell’offerta dei soggetti in house, avuto riguardo all’oggetto 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192 c. 2</w:t>
            </w:r>
          </w:p>
        </w:tc>
      </w:tr>
      <w:tr w:rsidR="000B0ACB">
        <w:trPr>
          <w:trHeight w:val="23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al valore della prestazione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sono riportate nella motivazione del provvedimento di affidamento le ragioni del mancato ricorso al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192 c. 2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mercato, nonché dei benefici per la collettività della forma di gestione prescelta, anche con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 agli obiettivi di universalità e socialità, di efficienza, di economicità e di qualità del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servizio, nonché di ottimale impiego delle risorse pubbliche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83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lettera di ordinazione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accettazione del soggetto in house (contratto per scambio corrispondenza)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6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verifica requisiti soggetto in house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C.6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rispetto della normativa sulla tracciabilità dei flussi finanziari (presenza CIG su documentazione di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9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3 legge</w:t>
            </w:r>
          </w:p>
        </w:tc>
      </w:tr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0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gara, contratto e strumenti di pagamento)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136/2010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5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56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60" w:name="page58"/>
      <w:bookmarkEnd w:id="60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114300</wp:posOffset>
            </wp:positionV>
            <wp:extent cx="9147810" cy="290830"/>
            <wp:effectExtent l="19050" t="0" r="0" b="0"/>
            <wp:wrapNone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19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ind w:left="840"/>
        <w:rPr>
          <w:rFonts w:ascii="Arial" w:eastAsia="Arial" w:hAnsi="Arial"/>
          <w:b/>
          <w:color w:val="FFFFFF"/>
          <w:sz w:val="24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86385"/>
            <wp:effectExtent l="19050" t="0" r="635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  <w:color w:val="FFFFFF"/>
          <w:sz w:val="24"/>
        </w:rPr>
        <w:t xml:space="preserve"> 0 – Checklist – ESECUZIONE DEL CONTRATTO</w:t>
      </w:r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149860</wp:posOffset>
            </wp:positionV>
            <wp:extent cx="10117455" cy="5665470"/>
            <wp:effectExtent l="19050" t="0" r="0" b="0"/>
            <wp:wrapNone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66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16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20"/>
        <w:gridCol w:w="5900"/>
        <w:gridCol w:w="4260"/>
      </w:tblGrid>
      <w:tr w:rsidR="000B0ACB">
        <w:trPr>
          <w:trHeight w:val="241"/>
        </w:trPr>
        <w:tc>
          <w:tcPr>
            <w:tcW w:w="5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DESCRIZIONE</w:t>
            </w:r>
          </w:p>
        </w:tc>
        <w:tc>
          <w:tcPr>
            <w:tcW w:w="59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NORMA DI</w:t>
            </w:r>
          </w:p>
        </w:tc>
        <w:tc>
          <w:tcPr>
            <w:tcW w:w="4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SI  NO   NP  Doc.  NOTE</w:t>
            </w:r>
          </w:p>
        </w:tc>
      </w:tr>
      <w:tr w:rsidR="000B0ACB">
        <w:trPr>
          <w:trHeight w:val="230"/>
        </w:trPr>
        <w:tc>
          <w:tcPr>
            <w:tcW w:w="57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9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4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RIFERIMENTO</w:t>
            </w:r>
          </w:p>
        </w:tc>
        <w:tc>
          <w:tcPr>
            <w:tcW w:w="4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rif.</w:t>
            </w:r>
          </w:p>
        </w:tc>
      </w:tr>
    </w:tbl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80" w:right="60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 – PRESUPPOSTI (la procedura seguita per la scelta del contraente è completa e corretta ed il contratto è stato correttamente stipulato)</w:t>
      </w:r>
    </w:p>
    <w:p w:rsidR="000B0ACB" w:rsidRDefault="000B0ACB">
      <w:pPr>
        <w:spacing w:line="371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Appalto lavori</w:t>
      </w:r>
    </w:p>
    <w:p w:rsidR="000B0ACB" w:rsidRDefault="000B0ACB">
      <w:pPr>
        <w:spacing w:line="197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A.1.1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verbale consegna lavori</w:t>
      </w:r>
    </w:p>
    <w:p w:rsidR="000B0ACB" w:rsidRDefault="000B0ACB">
      <w:pPr>
        <w:spacing w:line="377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  <w:tab w:val="left" w:pos="9980"/>
        </w:tabs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>A.1.2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nomina Direttore lavori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9"/>
        </w:rPr>
        <w:t>Art. 111</w:t>
      </w:r>
    </w:p>
    <w:p w:rsidR="000B0ACB" w:rsidRDefault="000B0ACB">
      <w:pPr>
        <w:spacing w:line="5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right="4780"/>
        <w:jc w:val="righ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Decreto MIT</w:t>
      </w:r>
    </w:p>
    <w:p w:rsidR="000B0ACB" w:rsidRDefault="000B0ACB">
      <w:pPr>
        <w:spacing w:line="0" w:lineRule="atLeast"/>
        <w:ind w:right="4780"/>
        <w:jc w:val="right"/>
        <w:rPr>
          <w:rFonts w:ascii="Arial" w:eastAsia="Arial" w:hAnsi="Arial"/>
          <w:b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A.1.3</w:t>
      </w:r>
    </w:p>
    <w:p w:rsidR="000B0ACB" w:rsidRDefault="000B0ACB">
      <w:pPr>
        <w:spacing w:line="14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A.1.4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5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A.1.5</w:t>
      </w:r>
    </w:p>
    <w:p w:rsidR="000B0ACB" w:rsidRDefault="000B0ACB">
      <w:pPr>
        <w:spacing w:line="135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9"/>
        </w:rPr>
        <w:br w:type="column"/>
      </w:r>
    </w:p>
    <w:p w:rsidR="000B0ACB" w:rsidRDefault="000B0ACB">
      <w:pPr>
        <w:spacing w:line="0" w:lineRule="atLeast"/>
        <w:ind w:left="6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Presenza nomina Coordinatore della sicurezza in sede di esecuzione</w:t>
      </w:r>
    </w:p>
    <w:p w:rsidR="000B0ACB" w:rsidRDefault="000B0ACB">
      <w:pPr>
        <w:spacing w:line="137" w:lineRule="exact"/>
        <w:rPr>
          <w:rFonts w:ascii="Times New Roman" w:eastAsia="Times New Roman" w:hAnsi="Times New Roman"/>
        </w:rPr>
      </w:pPr>
    </w:p>
    <w:tbl>
      <w:tblPr>
        <w:tblW w:w="0" w:type="auto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460"/>
        <w:gridCol w:w="1260"/>
      </w:tblGrid>
      <w:tr w:rsidR="000B0ACB">
        <w:trPr>
          <w:trHeight w:val="230"/>
        </w:trPr>
        <w:tc>
          <w:tcPr>
            <w:tcW w:w="84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Presenza contratto/i di subappalto e rispetto relativa procedura di autorizzazione, purché: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58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art. 105</w:t>
            </w:r>
          </w:p>
        </w:tc>
      </w:tr>
    </w:tbl>
    <w:p w:rsidR="000B0ACB" w:rsidRDefault="000B0ACB">
      <w:pPr>
        <w:spacing w:line="6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10" w:lineRule="auto"/>
        <w:ind w:left="326" w:right="6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l'affidatario del subappalto non abbia partecipato alla procedura per l'affidamento dell'appalto; il subappaltatore sia qualificato nella relativa categoria;</w:t>
      </w:r>
    </w:p>
    <w:p w:rsidR="000B0ACB" w:rsidRDefault="000B0ACB">
      <w:pPr>
        <w:spacing w:line="1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71" w:lineRule="auto"/>
        <w:ind w:left="326" w:right="6620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all'atto dell'offerta siano stati indicati i lavori o le parti di opere che si intende subappaltare; assenza in capo ai subappaltatori dei motivi di esclusione di cui all'articolo 80.</w:t>
      </w:r>
    </w:p>
    <w:p w:rsidR="000B0ACB" w:rsidRDefault="000B0ACB">
      <w:pPr>
        <w:spacing w:line="39" w:lineRule="exact"/>
        <w:rPr>
          <w:rFonts w:ascii="Times New Roman" w:eastAsia="Times New Roman" w:hAnsi="Times New Roman"/>
        </w:rPr>
      </w:pPr>
    </w:p>
    <w:tbl>
      <w:tblPr>
        <w:tblW w:w="0" w:type="auto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360"/>
        <w:gridCol w:w="2360"/>
      </w:tblGrid>
      <w:tr w:rsidR="000B0ACB">
        <w:trPr>
          <w:trHeight w:val="230"/>
        </w:trPr>
        <w:tc>
          <w:tcPr>
            <w:tcW w:w="73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modifiche e varianti del contratto autorizzate dal RUP:</w:t>
            </w:r>
          </w:p>
        </w:tc>
        <w:tc>
          <w:tcPr>
            <w:tcW w:w="23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1680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art. 106</w:t>
            </w:r>
          </w:p>
        </w:tc>
      </w:tr>
    </w:tbl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2"/>
        </w:numPr>
        <w:tabs>
          <w:tab w:val="left" w:pos="224"/>
        </w:tabs>
        <w:spacing w:line="251" w:lineRule="auto"/>
        <w:ind w:left="6" w:right="4900" w:hanging="6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19"/>
        </w:rPr>
        <w:t xml:space="preserve">modifiche che, a prescindere dal loro valore monetario, </w:t>
      </w:r>
      <w:r>
        <w:rPr>
          <w:rFonts w:ascii="Arial" w:eastAsia="Arial" w:hAnsi="Arial"/>
          <w:b/>
          <w:sz w:val="19"/>
          <w:u w:val="single"/>
        </w:rPr>
        <w:t>sono state previste nei documenti di gara</w:t>
      </w:r>
      <w:r>
        <w:rPr>
          <w:rFonts w:ascii="Arial" w:eastAsia="Arial" w:hAnsi="Arial"/>
          <w:b/>
          <w:sz w:val="19"/>
        </w:rPr>
        <w:t xml:space="preserve"> c. 1, lett. a) </w:t>
      </w:r>
      <w:r>
        <w:rPr>
          <w:rFonts w:ascii="Arial" w:eastAsia="Arial" w:hAnsi="Arial"/>
          <w:b/>
          <w:sz w:val="19"/>
          <w:u w:val="single"/>
        </w:rPr>
        <w:t>iniziali in clausole chiare, precise e inequivocabili</w:t>
      </w:r>
      <w:r>
        <w:rPr>
          <w:rFonts w:ascii="Arial" w:eastAsia="Arial" w:hAnsi="Arial"/>
          <w:b/>
          <w:sz w:val="19"/>
        </w:rPr>
        <w:t>, che possono comprendere clausole di revisione</w:t>
      </w:r>
    </w:p>
    <w:p w:rsidR="000B0ACB" w:rsidRDefault="000B0ACB">
      <w:pPr>
        <w:spacing w:line="0" w:lineRule="atLeast"/>
        <w:ind w:left="6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dei prezzi;</w:t>
      </w:r>
    </w:p>
    <w:p w:rsidR="000B0ACB" w:rsidRDefault="000B0ACB" w:rsidP="000B0ACB">
      <w:pPr>
        <w:numPr>
          <w:ilvl w:val="0"/>
          <w:numId w:val="32"/>
        </w:numPr>
        <w:tabs>
          <w:tab w:val="left" w:pos="229"/>
        </w:tabs>
        <w:spacing w:line="223" w:lineRule="auto"/>
        <w:ind w:left="6" w:right="4340" w:hanging="6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 xml:space="preserve">modifiche per </w:t>
      </w:r>
      <w:r>
        <w:rPr>
          <w:rFonts w:ascii="Arial" w:eastAsia="Arial" w:hAnsi="Arial"/>
          <w:b/>
          <w:sz w:val="18"/>
          <w:u w:val="single"/>
        </w:rPr>
        <w:t>lavori supplementari</w:t>
      </w:r>
      <w:r>
        <w:rPr>
          <w:rFonts w:ascii="Arial" w:eastAsia="Arial" w:hAnsi="Arial"/>
          <w:b/>
          <w:sz w:val="18"/>
        </w:rPr>
        <w:t xml:space="preserve"> da parte del contraente originale che si sono resi necessari e </w:t>
      </w:r>
      <w:r>
        <w:rPr>
          <w:rFonts w:ascii="Arial" w:eastAsia="Arial" w:hAnsi="Arial"/>
          <w:b/>
          <w:sz w:val="35"/>
          <w:vertAlign w:val="subscript"/>
        </w:rPr>
        <w:t>c. 1, lett. b) e c. 7</w:t>
      </w:r>
      <w:r>
        <w:rPr>
          <w:rFonts w:ascii="Arial" w:eastAsia="Arial" w:hAnsi="Arial"/>
          <w:b/>
          <w:sz w:val="18"/>
        </w:rPr>
        <w:t xml:space="preserve"> non erano inclusi nell’appalto iniziale, ove un cambiamento del contraente risulti impraticabile per</w:t>
      </w:r>
    </w:p>
    <w:p w:rsidR="000B0ACB" w:rsidRDefault="000B0ACB">
      <w:pPr>
        <w:spacing w:line="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8" w:lineRule="auto"/>
        <w:ind w:left="6" w:right="602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 xml:space="preserve">motivi economici o tecnici </w:t>
      </w:r>
      <w:r>
        <w:rPr>
          <w:rFonts w:ascii="Arial" w:eastAsia="Arial" w:hAnsi="Arial"/>
          <w:b/>
          <w:sz w:val="22"/>
        </w:rPr>
        <w:t>e</w:t>
      </w:r>
      <w:r>
        <w:rPr>
          <w:rFonts w:ascii="Arial" w:eastAsia="Arial" w:hAnsi="Arial"/>
          <w:b/>
          <w:sz w:val="19"/>
        </w:rPr>
        <w:t xml:space="preserve"> comporti notevoli disguidi o una consistente duplicazione dei costi, se l’eventuale aumento di prezzo </w:t>
      </w:r>
      <w:r>
        <w:rPr>
          <w:rFonts w:ascii="Arial" w:eastAsia="Arial" w:hAnsi="Arial"/>
          <w:b/>
          <w:sz w:val="19"/>
          <w:u w:val="single"/>
        </w:rPr>
        <w:t>non eccede il 50 per cento</w:t>
      </w:r>
      <w:r>
        <w:rPr>
          <w:rFonts w:ascii="Arial" w:eastAsia="Arial" w:hAnsi="Arial"/>
          <w:b/>
          <w:sz w:val="19"/>
        </w:rPr>
        <w:t xml:space="preserve"> del valore del contratto iniziale;</w:t>
      </w:r>
    </w:p>
    <w:p w:rsidR="000B0ACB" w:rsidRDefault="000B0ACB">
      <w:pPr>
        <w:spacing w:line="1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3"/>
        </w:numPr>
        <w:tabs>
          <w:tab w:val="left" w:pos="327"/>
        </w:tabs>
        <w:spacing w:line="200" w:lineRule="auto"/>
        <w:ind w:left="6" w:right="4360" w:hanging="6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</w:rPr>
        <w:t xml:space="preserve">modifiche determinate da </w:t>
      </w:r>
      <w:r>
        <w:rPr>
          <w:rFonts w:ascii="Arial" w:eastAsia="Arial" w:hAnsi="Arial"/>
          <w:b/>
          <w:u w:val="single"/>
        </w:rPr>
        <w:t>circostanze impreviste e imprevedibili</w:t>
      </w:r>
      <w:r>
        <w:rPr>
          <w:rFonts w:ascii="Arial" w:eastAsia="Arial" w:hAnsi="Arial"/>
          <w:b/>
        </w:rPr>
        <w:t xml:space="preserve"> – VCO (compresa la </w:t>
      </w:r>
      <w:r>
        <w:rPr>
          <w:rFonts w:ascii="Arial" w:eastAsia="Arial" w:hAnsi="Arial"/>
          <w:b/>
          <w:sz w:val="39"/>
          <w:vertAlign w:val="subscript"/>
        </w:rPr>
        <w:t>c. 1, lett. c) e c. 7</w:t>
      </w:r>
      <w:r>
        <w:rPr>
          <w:rFonts w:ascii="Arial" w:eastAsia="Arial" w:hAnsi="Arial"/>
          <w:b/>
        </w:rPr>
        <w:t xml:space="preserve"> sopravvenienza di nuove disposizioni legislative o regolamentari o provvedimenti di autorità od enti)</w:t>
      </w:r>
    </w:p>
    <w:p w:rsidR="000B0ACB" w:rsidRDefault="000B0ACB">
      <w:pPr>
        <w:spacing w:line="1" w:lineRule="exact"/>
        <w:rPr>
          <w:rFonts w:ascii="Arial" w:eastAsia="Arial" w:hAnsi="Arial"/>
          <w:b/>
          <w:sz w:val="24"/>
        </w:rPr>
      </w:pPr>
    </w:p>
    <w:p w:rsidR="000B0ACB" w:rsidRDefault="000B0ACB">
      <w:pPr>
        <w:spacing w:line="0" w:lineRule="atLeast"/>
        <w:ind w:left="6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– che non alterano la natura generale del contratto e non eccede il 50 per cento del valore;</w:t>
      </w:r>
    </w:p>
    <w:p w:rsidR="000B0ACB" w:rsidRDefault="000B0ACB">
      <w:pPr>
        <w:spacing w:line="68" w:lineRule="exact"/>
        <w:rPr>
          <w:rFonts w:ascii="Arial" w:eastAsia="Arial" w:hAnsi="Arial"/>
          <w:b/>
          <w:sz w:val="24"/>
        </w:rPr>
      </w:pPr>
    </w:p>
    <w:p w:rsidR="000B0ACB" w:rsidRDefault="000B0ACB" w:rsidP="000B0ACB">
      <w:pPr>
        <w:numPr>
          <w:ilvl w:val="0"/>
          <w:numId w:val="33"/>
        </w:numPr>
        <w:tabs>
          <w:tab w:val="left" w:pos="282"/>
        </w:tabs>
        <w:spacing w:line="235" w:lineRule="auto"/>
        <w:ind w:left="6" w:right="4900" w:hanging="6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</w:rPr>
        <w:t xml:space="preserve">modifiche per il </w:t>
      </w:r>
      <w:r>
        <w:rPr>
          <w:rFonts w:ascii="Arial" w:eastAsia="Arial" w:hAnsi="Arial"/>
          <w:b/>
          <w:u w:val="single"/>
        </w:rPr>
        <w:t>subentro di un nuovo contraente</w:t>
      </w:r>
      <w:r>
        <w:rPr>
          <w:rFonts w:ascii="Arial" w:eastAsia="Arial" w:hAnsi="Arial"/>
          <w:b/>
        </w:rPr>
        <w:t xml:space="preserve"> che sostituisce quello a cui la stazione c. 1, lett. d) </w:t>
      </w:r>
      <w:r>
        <w:rPr>
          <w:rFonts w:ascii="Arial" w:eastAsia="Arial" w:hAnsi="Arial"/>
          <w:b/>
          <w:u w:val="single"/>
        </w:rPr>
        <w:t>appaltante aveva inizialmente aggiudicato l’appalto (a causa di una delle seguenti circostanze:</w:t>
      </w:r>
    </w:p>
    <w:p w:rsidR="000B0ACB" w:rsidRDefault="000B0ACB">
      <w:pPr>
        <w:tabs>
          <w:tab w:val="left" w:pos="282"/>
        </w:tabs>
        <w:spacing w:line="235" w:lineRule="auto"/>
        <w:ind w:left="6" w:right="4900" w:hanging="6"/>
        <w:rPr>
          <w:rFonts w:ascii="Arial" w:eastAsia="Arial" w:hAnsi="Arial"/>
          <w:b/>
          <w:sz w:val="24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540" w:space="414"/>
            <w:col w:w="14926"/>
          </w:cols>
          <w:docGrid w:linePitch="360"/>
        </w:sectPr>
      </w:pPr>
    </w:p>
    <w:p w:rsidR="000B0ACB" w:rsidRDefault="000B0ACB">
      <w:pPr>
        <w:spacing w:line="22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57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780"/>
        <w:rPr>
          <w:rFonts w:ascii="Arial" w:eastAsia="Arial" w:hAnsi="Arial"/>
          <w:b/>
          <w:sz w:val="19"/>
        </w:rPr>
      </w:pPr>
      <w:bookmarkStart w:id="61" w:name="page59"/>
      <w:bookmarkEnd w:id="61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9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116840</wp:posOffset>
            </wp:positionV>
            <wp:extent cx="10115550" cy="6055995"/>
            <wp:effectExtent l="19050" t="0" r="0" b="0"/>
            <wp:wrapNone/>
            <wp:docPr id="88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0" cy="605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" w:lineRule="exact"/>
        <w:rPr>
          <w:rFonts w:ascii="Times New Roman" w:eastAsia="Times New Roman" w:hAnsi="Times New Roman"/>
        </w:rPr>
        <w:sectPr w:rsidR="000B0ACB">
          <w:pgSz w:w="16840" w:h="11906" w:orient="landscape"/>
          <w:pgMar w:top="710" w:right="1440" w:bottom="167" w:left="640" w:header="0" w:footer="0" w:gutter="0"/>
          <w:cols w:space="0" w:equalWidth="0">
            <w:col w:w="1475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A.1.6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7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A.1.7</w:t>
      </w:r>
    </w:p>
    <w:p w:rsidR="000B0ACB" w:rsidRDefault="000B0ACB">
      <w:pPr>
        <w:spacing w:line="226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9"/>
        </w:rPr>
        <w:br w:type="column"/>
      </w:r>
    </w:p>
    <w:p w:rsidR="000B0ACB" w:rsidRDefault="000B0ACB">
      <w:pPr>
        <w:spacing w:line="236" w:lineRule="auto"/>
        <w:ind w:left="6" w:right="4978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clausola di revisione inequivocabile - successione per causa di morte o per modifiche societarie ma senza altre modifiche sostanziali al contratto - l’amministrazione si assume gli obblighi del contraente principale nei confronti dei suoi subappaltatori)</w:t>
      </w:r>
    </w:p>
    <w:p w:rsidR="000B0ACB" w:rsidRDefault="000B0ACB">
      <w:pPr>
        <w:spacing w:line="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13" w:lineRule="auto"/>
        <w:ind w:left="6" w:right="3298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23"/>
        </w:rPr>
        <w:t xml:space="preserve">□ </w:t>
      </w:r>
      <w:r>
        <w:rPr>
          <w:rFonts w:ascii="Arial" w:eastAsia="Arial" w:hAnsi="Arial"/>
          <w:b/>
          <w:sz w:val="18"/>
        </w:rPr>
        <w:t>modifiche</w:t>
      </w:r>
      <w:r>
        <w:rPr>
          <w:rFonts w:ascii="Arial" w:eastAsia="Arial" w:hAnsi="Arial"/>
          <w:b/>
          <w:sz w:val="23"/>
        </w:rPr>
        <w:t xml:space="preserve"> </w:t>
      </w:r>
      <w:r>
        <w:rPr>
          <w:rFonts w:ascii="Arial" w:eastAsia="Arial" w:hAnsi="Arial"/>
          <w:b/>
          <w:sz w:val="18"/>
          <w:u w:val="single"/>
        </w:rPr>
        <w:t>non sostanziali e la stazione appaltante ha stabilito nei documenti di gara soglie di</w:t>
      </w:r>
      <w:r>
        <w:rPr>
          <w:rFonts w:ascii="Arial" w:eastAsia="Arial" w:hAnsi="Arial"/>
          <w:b/>
          <w:sz w:val="23"/>
        </w:rPr>
        <w:t xml:space="preserve"> </w:t>
      </w:r>
      <w:r>
        <w:rPr>
          <w:rFonts w:ascii="Arial" w:eastAsia="Arial" w:hAnsi="Arial"/>
          <w:b/>
          <w:sz w:val="37"/>
          <w:vertAlign w:val="subscript"/>
        </w:rPr>
        <w:t>c. 1, lett. e) e c. 4</w:t>
      </w:r>
      <w:r>
        <w:rPr>
          <w:rFonts w:ascii="Arial" w:eastAsia="Arial" w:hAnsi="Arial"/>
          <w:b/>
          <w:sz w:val="23"/>
        </w:rPr>
        <w:t xml:space="preserve"> </w:t>
      </w:r>
      <w:r>
        <w:rPr>
          <w:rFonts w:ascii="Arial" w:eastAsia="Arial" w:hAnsi="Arial"/>
          <w:b/>
          <w:sz w:val="18"/>
          <w:u w:val="single"/>
        </w:rPr>
        <w:t>importi per consentire</w:t>
      </w:r>
      <w:r>
        <w:rPr>
          <w:rFonts w:ascii="Arial" w:eastAsia="Arial" w:hAnsi="Arial"/>
          <w:b/>
          <w:sz w:val="18"/>
        </w:rPr>
        <w:t xml:space="preserve"> tali modifiche (una modifica è considerata sostanziale quando muta sostanzialmente la natura del contratto quadro rispetto a quello inizialmente concluso);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185" w:lineRule="auto"/>
        <w:ind w:left="6" w:right="4518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24"/>
        </w:rPr>
        <w:t xml:space="preserve">□ </w:t>
      </w:r>
      <w:r>
        <w:rPr>
          <w:rFonts w:ascii="Arial" w:eastAsia="Arial" w:hAnsi="Arial"/>
          <w:b/>
          <w:sz w:val="19"/>
        </w:rPr>
        <w:t>modifiche</w:t>
      </w:r>
      <w:r>
        <w:rPr>
          <w:rFonts w:ascii="Arial" w:eastAsia="Arial" w:hAnsi="Arial"/>
          <w:b/>
          <w:sz w:val="24"/>
        </w:rPr>
        <w:t xml:space="preserve"> </w:t>
      </w:r>
      <w:r>
        <w:rPr>
          <w:rFonts w:ascii="Arial" w:eastAsia="Arial" w:hAnsi="Arial"/>
          <w:b/>
          <w:sz w:val="19"/>
          <w:u w:val="single"/>
        </w:rPr>
        <w:t>al di sotto di entrambi i seguenti valori</w:t>
      </w:r>
      <w:r>
        <w:rPr>
          <w:rFonts w:ascii="Arial" w:eastAsia="Arial" w:hAnsi="Arial"/>
          <w:b/>
          <w:sz w:val="24"/>
        </w:rPr>
        <w:t xml:space="preserve"> </w:t>
      </w:r>
      <w:r>
        <w:rPr>
          <w:rFonts w:ascii="Arial" w:eastAsia="Arial" w:hAnsi="Arial"/>
          <w:b/>
          <w:sz w:val="19"/>
        </w:rPr>
        <w:t>(la modifica non può alterare la natura</w:t>
      </w:r>
      <w:r>
        <w:rPr>
          <w:rFonts w:ascii="Arial" w:eastAsia="Arial" w:hAnsi="Arial"/>
          <w:b/>
          <w:sz w:val="24"/>
        </w:rPr>
        <w:t xml:space="preserve"> </w:t>
      </w:r>
      <w:r>
        <w:rPr>
          <w:rFonts w:ascii="Arial" w:eastAsia="Arial" w:hAnsi="Arial"/>
          <w:b/>
          <w:sz w:val="19"/>
        </w:rPr>
        <w:t xml:space="preserve">complessiva del contratto o dell’accordo quadro. In caso di più modifiche successive, il valore è </w:t>
      </w:r>
      <w:r>
        <w:rPr>
          <w:rFonts w:ascii="Arial" w:eastAsia="Arial" w:hAnsi="Arial"/>
          <w:b/>
          <w:sz w:val="39"/>
          <w:vertAlign w:val="superscript"/>
        </w:rPr>
        <w:t>c. 2</w:t>
      </w:r>
      <w:r>
        <w:rPr>
          <w:rFonts w:ascii="Arial" w:eastAsia="Arial" w:hAnsi="Arial"/>
          <w:b/>
          <w:sz w:val="19"/>
        </w:rPr>
        <w:t xml:space="preserve"> accertato sulla base del valore complessivo netto delle successive modifiche. Qualora la necessità</w:t>
      </w:r>
    </w:p>
    <w:p w:rsidR="000B0ACB" w:rsidRDefault="000B0ACB">
      <w:pPr>
        <w:spacing w:line="1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3" w:lineRule="auto"/>
        <w:ind w:left="6" w:right="4978"/>
        <w:jc w:val="both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di modificare il contratto derivi da errori o da omissioni nel progetto esecutivo, che pregiudicano in tutto o in parte la realizzazione dell’opera o la sua utilizzazione, essa è consentita solo nei limiti quantitativi di cui al presente comma, ferma restando la responsabilità dei progettisti esterni):</w:t>
      </w:r>
    </w:p>
    <w:p w:rsidR="000B0ACB" w:rsidRDefault="000B0ACB">
      <w:pPr>
        <w:spacing w:line="50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34"/>
        </w:numPr>
        <w:tabs>
          <w:tab w:val="left" w:pos="566"/>
        </w:tabs>
        <w:spacing w:line="0" w:lineRule="atLeast"/>
        <w:ind w:left="566" w:hanging="237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le </w:t>
      </w:r>
      <w:r>
        <w:rPr>
          <w:rFonts w:ascii="Arial" w:eastAsia="Arial" w:hAnsi="Arial"/>
          <w:b/>
          <w:u w:val="single"/>
        </w:rPr>
        <w:t>soglie fissate all’articolo 35</w:t>
      </w:r>
      <w:r>
        <w:rPr>
          <w:rFonts w:ascii="Arial" w:eastAsia="Arial" w:hAnsi="Arial"/>
          <w:b/>
        </w:rPr>
        <w:t>;</w:t>
      </w:r>
    </w:p>
    <w:p w:rsidR="000B0ACB" w:rsidRDefault="000B0ACB">
      <w:pPr>
        <w:spacing w:line="60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1"/>
          <w:numId w:val="34"/>
        </w:numPr>
        <w:tabs>
          <w:tab w:val="left" w:pos="566"/>
        </w:tabs>
        <w:spacing w:line="0" w:lineRule="atLeast"/>
        <w:ind w:left="566" w:hanging="237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il </w:t>
      </w:r>
      <w:r>
        <w:rPr>
          <w:rFonts w:ascii="Arial" w:eastAsia="Arial" w:hAnsi="Arial"/>
          <w:b/>
          <w:u w:val="single"/>
        </w:rPr>
        <w:t>15 per cento del valore iniziale del contratto</w:t>
      </w:r>
      <w:r>
        <w:rPr>
          <w:rFonts w:ascii="Arial" w:eastAsia="Arial" w:hAnsi="Arial"/>
          <w:b/>
        </w:rPr>
        <w:t xml:space="preserve"> sia nei settori ordinari che speciali;</w:t>
      </w:r>
    </w:p>
    <w:p w:rsidR="000B0ACB" w:rsidRDefault="000B0ACB" w:rsidP="000B0ACB">
      <w:pPr>
        <w:numPr>
          <w:ilvl w:val="0"/>
          <w:numId w:val="34"/>
        </w:numPr>
        <w:tabs>
          <w:tab w:val="left" w:pos="234"/>
        </w:tabs>
        <w:spacing w:line="199" w:lineRule="auto"/>
        <w:ind w:left="6" w:right="4398" w:hanging="6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</w:rPr>
        <w:t xml:space="preserve">modifiche per </w:t>
      </w:r>
      <w:r>
        <w:rPr>
          <w:rFonts w:ascii="Arial" w:eastAsia="Arial" w:hAnsi="Arial"/>
          <w:b/>
          <w:u w:val="single"/>
        </w:rPr>
        <w:t>necessario aumento o diminuzione delle prestazioni fino a concorrenza del quinto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sz w:val="39"/>
          <w:vertAlign w:val="subscript"/>
        </w:rPr>
        <w:t>c. 12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u w:val="single"/>
        </w:rPr>
        <w:t>dell’importo del contratto</w:t>
      </w:r>
      <w:r>
        <w:rPr>
          <w:rFonts w:ascii="Arial" w:eastAsia="Arial" w:hAnsi="Arial"/>
          <w:b/>
        </w:rPr>
        <w:t>, alle stesse condizioni previste nel contratto originario (in tal caso l’appaltatore non può far valere il diritto alla risoluzione del contratto).</w:t>
      </w:r>
    </w:p>
    <w:p w:rsidR="000B0ACB" w:rsidRDefault="000B0ACB">
      <w:pPr>
        <w:spacing w:line="14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6" w:right="3738" w:firstLine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Se è stato modificato un contratto nelle situazioni di cui al comma 1, lettere b) e c), presenza della art. 106, c. 5 </w:t>
      </w:r>
      <w:r>
        <w:rPr>
          <w:rFonts w:ascii="Arial" w:eastAsia="Arial" w:hAnsi="Arial"/>
          <w:b/>
          <w:u w:val="single"/>
        </w:rPr>
        <w:t>pubblicazione di un avviso</w:t>
      </w:r>
      <w:r>
        <w:rPr>
          <w:rFonts w:ascii="Arial" w:eastAsia="Arial" w:hAnsi="Arial"/>
          <w:b/>
        </w:rPr>
        <w:t xml:space="preserve"> al riguardo nella Gazzetta ufficiale dell’Unione europea (per i contratti di importo inferiore alla soglia di cui all’articolo 35, la pubblicità avviene in ambito nazionale)</w:t>
      </w:r>
    </w:p>
    <w:p w:rsidR="000B0ACB" w:rsidRDefault="000B0ACB">
      <w:pPr>
        <w:spacing w:line="21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left="6" w:right="3738" w:firstLine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Se è stato modificato un contratto nelle situazioni di cui al comma 1, lettera b) e al comma 2, art. 106, c. 8 presenza della </w:t>
      </w:r>
      <w:r>
        <w:rPr>
          <w:rFonts w:ascii="Arial" w:eastAsia="Arial" w:hAnsi="Arial"/>
          <w:b/>
          <w:u w:val="single"/>
        </w:rPr>
        <w:t>comunicazione all’ANAC delle modificazioni al contratto entro trenta giorni</w:t>
      </w:r>
      <w:r>
        <w:rPr>
          <w:rFonts w:ascii="Arial" w:eastAsia="Arial" w:hAnsi="Arial"/>
          <w:b/>
        </w:rPr>
        <w:t xml:space="preserve"> dal loro perfezionamento.</w:t>
      </w:r>
    </w:p>
    <w:p w:rsidR="000B0ACB" w:rsidRDefault="000B0ACB">
      <w:pPr>
        <w:spacing w:line="237" w:lineRule="auto"/>
        <w:ind w:left="6" w:right="3738" w:firstLine="1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10" w:right="1440" w:bottom="167" w:left="640" w:header="0" w:footer="0" w:gutter="0"/>
          <w:cols w:num="2" w:space="0" w:equalWidth="0">
            <w:col w:w="460" w:space="414"/>
            <w:col w:w="13884"/>
          </w:cols>
          <w:docGrid w:linePitch="360"/>
        </w:sectPr>
      </w:pPr>
    </w:p>
    <w:p w:rsidR="000B0ACB" w:rsidRDefault="000B0ACB">
      <w:pPr>
        <w:spacing w:line="288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A.1.8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1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A.1.9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6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A.1.10</w:t>
      </w:r>
    </w:p>
    <w:p w:rsidR="000B0ACB" w:rsidRDefault="000B0ACB">
      <w:pPr>
        <w:spacing w:line="295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9"/>
        </w:rPr>
        <w:br w:type="column"/>
      </w:r>
    </w:p>
    <w:p w:rsidR="000B0ACB" w:rsidRDefault="000B0ACB">
      <w:pPr>
        <w:spacing w:line="237" w:lineRule="auto"/>
        <w:ind w:right="3618" w:firstLine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La </w:t>
      </w:r>
      <w:r>
        <w:rPr>
          <w:rFonts w:ascii="Arial" w:eastAsia="Arial" w:hAnsi="Arial"/>
          <w:b/>
          <w:u w:val="single"/>
        </w:rPr>
        <w:t>durata del contratto</w:t>
      </w:r>
      <w:r>
        <w:rPr>
          <w:rFonts w:ascii="Arial" w:eastAsia="Arial" w:hAnsi="Arial"/>
          <w:b/>
        </w:rPr>
        <w:t xml:space="preserve"> è stata modificata in corso di esecuzione ed era prevista nel bando e nei art. 106, c. 11 documenti di gara una </w:t>
      </w:r>
      <w:r>
        <w:rPr>
          <w:rFonts w:ascii="Arial" w:eastAsia="Arial" w:hAnsi="Arial"/>
          <w:b/>
          <w:u w:val="single"/>
        </w:rPr>
        <w:t>opzione di proroga tecnica</w:t>
      </w:r>
      <w:r>
        <w:rPr>
          <w:rFonts w:ascii="Arial" w:eastAsia="Arial" w:hAnsi="Arial"/>
          <w:b/>
        </w:rPr>
        <w:t xml:space="preserve"> (limitata al tempo strettamente necessario alla conclusione delle procedure necessarie per l’individuazione di un nuovo contraente - esecuzione prestazioni previste nel contratto agli stessi prezzi, patti e condizioni o più favorevoli per la SA)</w:t>
      </w:r>
    </w:p>
    <w:p w:rsidR="000B0ACB" w:rsidRDefault="000B0ACB">
      <w:pPr>
        <w:spacing w:line="23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7" w:lineRule="auto"/>
        <w:ind w:right="3618" w:firstLine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Per i contratti pubblici di </w:t>
      </w:r>
      <w:r>
        <w:rPr>
          <w:rFonts w:ascii="Arial" w:eastAsia="Arial" w:hAnsi="Arial"/>
          <w:b/>
          <w:u w:val="single"/>
        </w:rPr>
        <w:t>importo inferiore alla soglia comunitaria</w:t>
      </w:r>
      <w:r>
        <w:rPr>
          <w:rFonts w:ascii="Arial" w:eastAsia="Arial" w:hAnsi="Arial"/>
          <w:b/>
        </w:rPr>
        <w:t xml:space="preserve">, le varianti in corso d’opera dei art. 106, c. 14 contratti, se di </w:t>
      </w:r>
      <w:r>
        <w:rPr>
          <w:rFonts w:ascii="Arial" w:eastAsia="Arial" w:hAnsi="Arial"/>
          <w:b/>
          <w:u w:val="single"/>
        </w:rPr>
        <w:t>importo inferiore o pari al 10 per cento</w:t>
      </w:r>
      <w:r>
        <w:rPr>
          <w:rFonts w:ascii="Arial" w:eastAsia="Arial" w:hAnsi="Arial"/>
          <w:b/>
        </w:rPr>
        <w:t xml:space="preserve"> dell’importo originario del contratto, sono </w:t>
      </w:r>
      <w:r>
        <w:rPr>
          <w:rFonts w:ascii="Arial" w:eastAsia="Arial" w:hAnsi="Arial"/>
          <w:b/>
          <w:u w:val="single"/>
        </w:rPr>
        <w:t>comunicate dal RUP all’Osservatorio</w:t>
      </w:r>
      <w:r>
        <w:rPr>
          <w:rFonts w:ascii="Arial" w:eastAsia="Arial" w:hAnsi="Arial"/>
          <w:b/>
        </w:rPr>
        <w:t xml:space="preserve"> di cui all’articolo 213, tramite le sezioni regionali, entro trenta</w:t>
      </w:r>
    </w:p>
    <w:p w:rsidR="000B0ACB" w:rsidRDefault="000B0ACB">
      <w:pPr>
        <w:spacing w:line="1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right="4978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giorni dall’approvazione da parte della stazione appaltante per le valutazioni e gli eventuali provvedimenti di competenza.</w:t>
      </w:r>
    </w:p>
    <w:p w:rsidR="000B0ACB" w:rsidRDefault="000B0ACB">
      <w:pPr>
        <w:spacing w:line="14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1" w:lineRule="auto"/>
        <w:ind w:right="3618" w:firstLine="1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 xml:space="preserve">Per i contratti pubblici di </w:t>
      </w:r>
      <w:r>
        <w:rPr>
          <w:rFonts w:ascii="Arial" w:eastAsia="Arial" w:hAnsi="Arial"/>
          <w:b/>
          <w:sz w:val="19"/>
          <w:u w:val="single"/>
        </w:rPr>
        <w:t>importo pari o superiore alla soglia comunitaria</w:t>
      </w:r>
      <w:r>
        <w:rPr>
          <w:rFonts w:ascii="Arial" w:eastAsia="Arial" w:hAnsi="Arial"/>
          <w:b/>
          <w:sz w:val="19"/>
        </w:rPr>
        <w:t xml:space="preserve">, le varianti in corso d’opera art. 106, c. 14 di </w:t>
      </w:r>
      <w:r>
        <w:rPr>
          <w:rFonts w:ascii="Arial" w:eastAsia="Arial" w:hAnsi="Arial"/>
          <w:b/>
          <w:sz w:val="19"/>
          <w:u w:val="single"/>
        </w:rPr>
        <w:t>importo eccedente il 10 per cento</w:t>
      </w:r>
      <w:r>
        <w:rPr>
          <w:rFonts w:ascii="Arial" w:eastAsia="Arial" w:hAnsi="Arial"/>
          <w:b/>
          <w:sz w:val="19"/>
        </w:rPr>
        <w:t xml:space="preserve"> dell’importo originario del contratto, incluse le varianti in corso</w:t>
      </w:r>
    </w:p>
    <w:p w:rsidR="000B0ACB" w:rsidRDefault="000B0ACB">
      <w:pPr>
        <w:spacing w:line="233" w:lineRule="auto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d’opera riferite a infrastrutture strategiche, sono trasmesse dal RUP all’ANAC, unitamente al</w:t>
      </w:r>
    </w:p>
    <w:p w:rsidR="000B0ACB" w:rsidRDefault="000B0ACB">
      <w:pPr>
        <w:spacing w:line="233" w:lineRule="auto"/>
        <w:rPr>
          <w:rFonts w:ascii="Arial" w:eastAsia="Arial" w:hAnsi="Arial"/>
          <w:b/>
          <w:u w:val="single"/>
        </w:rPr>
        <w:sectPr w:rsidR="000B0ACB">
          <w:type w:val="continuous"/>
          <w:pgSz w:w="16840" w:h="11906" w:orient="landscape"/>
          <w:pgMar w:top="710" w:right="1440" w:bottom="167" w:left="640" w:header="0" w:footer="0" w:gutter="0"/>
          <w:cols w:num="2" w:space="0" w:equalWidth="0">
            <w:col w:w="580" w:space="300"/>
            <w:col w:w="13878"/>
          </w:cols>
          <w:docGrid w:linePitch="360"/>
        </w:sectPr>
      </w:pPr>
    </w:p>
    <w:p w:rsidR="000B0ACB" w:rsidRDefault="000B0ACB">
      <w:pPr>
        <w:spacing w:line="29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56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58</w:t>
      </w:r>
    </w:p>
    <w:p w:rsidR="000B0ACB" w:rsidRDefault="000B0ACB">
      <w:pPr>
        <w:spacing w:line="0" w:lineRule="atLeast"/>
        <w:ind w:left="1356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10" w:right="1440" w:bottom="167" w:left="640" w:header="0" w:footer="0" w:gutter="0"/>
          <w:cols w:space="0" w:equalWidth="0">
            <w:col w:w="14758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62" w:name="page60"/>
      <w:bookmarkEnd w:id="62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133465"/>
            <wp:effectExtent l="19050" t="0" r="0" b="0"/>
            <wp:wrapNone/>
            <wp:docPr id="89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133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57" w:lineRule="auto"/>
        <w:ind w:left="960" w:right="602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progetto esecutivo, all’atto di validazione e ad una apposita relazione del RUP, entro 30 giorni dall’approvazione da parte della stazione appaltante (pena sanzioni amministrative pecuniarie)</w:t>
      </w:r>
    </w:p>
    <w:p w:rsidR="000B0ACB" w:rsidRDefault="000B0ACB">
      <w:pPr>
        <w:spacing w:line="120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0"/>
        <w:gridCol w:w="860"/>
        <w:gridCol w:w="8300"/>
        <w:gridCol w:w="4560"/>
        <w:gridCol w:w="20"/>
        <w:gridCol w:w="2120"/>
      </w:tblGrid>
      <w:tr w:rsidR="000B0ACB">
        <w:trPr>
          <w:trHeight w:val="23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A.1.11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nomina collaudatore/i (da uno a tre)</w:t>
            </w: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102, c. 6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10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A.1.12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certificato di collaudo dei lavori o del certificato di regolare esecuzione</w:t>
            </w: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102, c. 8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8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A.1.13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Il contratto si è concluso nei tempi previsti</w:t>
            </w:r>
          </w:p>
        </w:tc>
        <w:tc>
          <w:tcPr>
            <w:tcW w:w="4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22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6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</w:t>
            </w:r>
          </w:p>
        </w:tc>
        <w:tc>
          <w:tcPr>
            <w:tcW w:w="8300" w:type="dxa"/>
            <w:vMerge w:val="restart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Appalto servizi e forniture</w:t>
            </w:r>
          </w:p>
        </w:tc>
        <w:tc>
          <w:tcPr>
            <w:tcW w:w="4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B0ACB">
        <w:trPr>
          <w:trHeight w:val="58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300" w:type="dxa"/>
            <w:vMerge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12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A.2.1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verbale inizio attività</w:t>
            </w:r>
          </w:p>
        </w:tc>
        <w:tc>
          <w:tcPr>
            <w:tcW w:w="4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10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0B0ACB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A.2.2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nomina Direttore dell’esecuzione del contratto</w:t>
            </w: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111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290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Decreto MIT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B0ACB">
        <w:trPr>
          <w:trHeight w:val="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A.2.3</w:t>
            </w:r>
          </w:p>
        </w:tc>
        <w:tc>
          <w:tcPr>
            <w:tcW w:w="83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contratto/i di subappalto e rispetto relativa procedura di autorizzazione</w:t>
            </w:r>
          </w:p>
        </w:tc>
        <w:tc>
          <w:tcPr>
            <w:tcW w:w="45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105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B0ACB" w:rsidRDefault="000B0ACB">
      <w:pPr>
        <w:spacing w:line="6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7" w:lineRule="auto"/>
        <w:ind w:left="1280" w:right="6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l'affidatario del subappalto non abbia partecipato alla procedura per l'affidamento dell'appalto; il subappaltatore sia qualificato nella relativa attività;</w:t>
      </w:r>
    </w:p>
    <w:p w:rsidR="000B0ACB" w:rsidRDefault="000B0ACB">
      <w:pPr>
        <w:spacing w:line="1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36" w:lineRule="auto"/>
        <w:ind w:left="1280" w:right="6020" w:hanging="1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all'atto dell'offerta siano stati indicati i servizi e le forniture o parti di servizi e forniture che si intende subappaltare;</w:t>
      </w:r>
    </w:p>
    <w:p w:rsidR="000B0ACB" w:rsidRDefault="000B0ACB">
      <w:pPr>
        <w:spacing w:line="7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0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assenza in capo ai subappaltatori dei motivi di esclusione di cui all'articolo 80</w:t>
      </w:r>
    </w:p>
    <w:p w:rsidR="000B0ACB" w:rsidRDefault="000B0ACB">
      <w:pPr>
        <w:spacing w:line="152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  <w:tab w:val="left" w:pos="9980"/>
        </w:tabs>
        <w:spacing w:line="0" w:lineRule="atLeast"/>
        <w:ind w:left="8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>A.2.4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>Presenza modifiche e varianti del contratto autorizzate dal RUP: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9"/>
        </w:rPr>
        <w:t>art. 106</w:t>
      </w:r>
    </w:p>
    <w:p w:rsidR="000B0ACB" w:rsidRDefault="000B0ACB">
      <w:pPr>
        <w:spacing w:line="68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5"/>
        </w:numPr>
        <w:tabs>
          <w:tab w:val="left" w:pos="1190"/>
        </w:tabs>
        <w:spacing w:line="251" w:lineRule="auto"/>
        <w:ind w:left="960" w:right="4900" w:hanging="6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19"/>
        </w:rPr>
        <w:t xml:space="preserve">le modifiche, a prescindere dal loro valore monetario, sono state </w:t>
      </w:r>
      <w:r>
        <w:rPr>
          <w:rFonts w:ascii="Arial" w:eastAsia="Arial" w:hAnsi="Arial"/>
          <w:b/>
          <w:sz w:val="19"/>
          <w:u w:val="single"/>
        </w:rPr>
        <w:t>previste nei documenti di gara</w:t>
      </w:r>
      <w:r>
        <w:rPr>
          <w:rFonts w:ascii="Arial" w:eastAsia="Arial" w:hAnsi="Arial"/>
          <w:b/>
          <w:sz w:val="19"/>
        </w:rPr>
        <w:t xml:space="preserve"> c. 1, lett. a) </w:t>
      </w:r>
      <w:r>
        <w:rPr>
          <w:rFonts w:ascii="Arial" w:eastAsia="Arial" w:hAnsi="Arial"/>
          <w:b/>
          <w:sz w:val="19"/>
          <w:u w:val="single"/>
        </w:rPr>
        <w:t>iniziali in clausole chiare, precise e inequivocabili</w:t>
      </w:r>
      <w:r>
        <w:rPr>
          <w:rFonts w:ascii="Arial" w:eastAsia="Arial" w:hAnsi="Arial"/>
          <w:b/>
          <w:sz w:val="19"/>
        </w:rPr>
        <w:t>, che possono comprendere clausole di revisione</w:t>
      </w: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dei prezzi;</w:t>
      </w:r>
    </w:p>
    <w:p w:rsidR="000B0ACB" w:rsidRDefault="000B0ACB" w:rsidP="000B0ACB">
      <w:pPr>
        <w:numPr>
          <w:ilvl w:val="0"/>
          <w:numId w:val="35"/>
        </w:numPr>
        <w:tabs>
          <w:tab w:val="left" w:pos="1174"/>
        </w:tabs>
        <w:spacing w:line="223" w:lineRule="auto"/>
        <w:ind w:left="960" w:right="4340" w:hanging="6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 xml:space="preserve">modifiche per </w:t>
      </w:r>
      <w:r>
        <w:rPr>
          <w:rFonts w:ascii="Arial" w:eastAsia="Arial" w:hAnsi="Arial"/>
          <w:b/>
          <w:sz w:val="18"/>
          <w:u w:val="single"/>
        </w:rPr>
        <w:t>servizi e forniture supplementari da parte del contraente originale che si sono resi</w:t>
      </w:r>
      <w:r>
        <w:rPr>
          <w:rFonts w:ascii="Arial" w:eastAsia="Arial" w:hAnsi="Arial"/>
          <w:b/>
          <w:sz w:val="18"/>
        </w:rPr>
        <w:t xml:space="preserve"> </w:t>
      </w:r>
      <w:r>
        <w:rPr>
          <w:rFonts w:ascii="Arial" w:eastAsia="Arial" w:hAnsi="Arial"/>
          <w:b/>
          <w:sz w:val="35"/>
          <w:vertAlign w:val="subscript"/>
        </w:rPr>
        <w:t>c. 1, lett. b) e c. 7</w:t>
      </w:r>
      <w:r>
        <w:rPr>
          <w:rFonts w:ascii="Arial" w:eastAsia="Arial" w:hAnsi="Arial"/>
          <w:b/>
          <w:sz w:val="18"/>
        </w:rPr>
        <w:t xml:space="preserve"> </w:t>
      </w:r>
      <w:r>
        <w:rPr>
          <w:rFonts w:ascii="Arial" w:eastAsia="Arial" w:hAnsi="Arial"/>
          <w:b/>
          <w:sz w:val="18"/>
          <w:u w:val="single"/>
        </w:rPr>
        <w:t>necessari</w:t>
      </w:r>
      <w:r>
        <w:rPr>
          <w:rFonts w:ascii="Arial" w:eastAsia="Arial" w:hAnsi="Arial"/>
          <w:b/>
          <w:sz w:val="18"/>
        </w:rPr>
        <w:t xml:space="preserve"> e non erano inclusi nell’appalto iniziale, ove un cambiamento del contraente risulti</w:t>
      </w:r>
    </w:p>
    <w:p w:rsidR="000B0ACB" w:rsidRDefault="000B0ACB">
      <w:pPr>
        <w:tabs>
          <w:tab w:val="left" w:pos="1174"/>
        </w:tabs>
        <w:spacing w:line="223" w:lineRule="auto"/>
        <w:ind w:left="960" w:right="4340" w:hanging="6"/>
        <w:rPr>
          <w:rFonts w:ascii="Arial" w:eastAsia="Arial" w:hAnsi="Arial"/>
          <w:b/>
          <w:sz w:val="22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46" w:lineRule="auto"/>
        <w:ind w:left="960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impraticabile per motivi economici o tecnici </w:t>
      </w:r>
      <w:r>
        <w:rPr>
          <w:rFonts w:ascii="Arial" w:eastAsia="Arial" w:hAnsi="Arial"/>
          <w:b/>
          <w:sz w:val="23"/>
        </w:rPr>
        <w:t>e</w:t>
      </w:r>
      <w:r>
        <w:rPr>
          <w:rFonts w:ascii="Arial" w:eastAsia="Arial" w:hAnsi="Arial"/>
          <w:b/>
        </w:rPr>
        <w:t xml:space="preserve"> comporti notevoli disguidi o una consistente duplicazione dei costi, se l’eventuale aumento di prezzo </w:t>
      </w:r>
      <w:r>
        <w:rPr>
          <w:rFonts w:ascii="Arial" w:eastAsia="Arial" w:hAnsi="Arial"/>
          <w:b/>
          <w:u w:val="single"/>
        </w:rPr>
        <w:t>non eccede il 50 per cento</w:t>
      </w:r>
      <w:r>
        <w:rPr>
          <w:rFonts w:ascii="Arial" w:eastAsia="Arial" w:hAnsi="Arial"/>
          <w:b/>
        </w:rPr>
        <w:t xml:space="preserve"> del valore del contratto iniziale;</w:t>
      </w:r>
    </w:p>
    <w:p w:rsidR="000B0ACB" w:rsidRDefault="000B0ACB">
      <w:pPr>
        <w:spacing w:line="100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6"/>
        </w:numPr>
        <w:tabs>
          <w:tab w:val="left" w:pos="1282"/>
        </w:tabs>
        <w:spacing w:line="242" w:lineRule="auto"/>
        <w:ind w:left="960" w:hanging="6"/>
        <w:jc w:val="both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18"/>
        </w:rPr>
        <w:t xml:space="preserve">modifiche determinate da </w:t>
      </w:r>
      <w:r>
        <w:rPr>
          <w:rFonts w:ascii="Arial" w:eastAsia="Arial" w:hAnsi="Arial"/>
          <w:b/>
          <w:sz w:val="18"/>
          <w:u w:val="single"/>
        </w:rPr>
        <w:t>circostanze impreviste e imprevedibili</w:t>
      </w:r>
      <w:r>
        <w:rPr>
          <w:rFonts w:ascii="Arial" w:eastAsia="Arial" w:hAnsi="Arial"/>
          <w:b/>
          <w:sz w:val="18"/>
        </w:rPr>
        <w:t xml:space="preserve"> – VCO (compresa la sopravvenienza di nuove disposizioni legislative o regolamentari o provvedimenti di autorità od enti)</w:t>
      </w:r>
    </w:p>
    <w:p w:rsidR="000B0ACB" w:rsidRDefault="000B0ACB">
      <w:pPr>
        <w:spacing w:line="237" w:lineRule="auto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– che non alterano la natura generale del contratto e </w:t>
      </w:r>
      <w:r>
        <w:rPr>
          <w:rFonts w:ascii="Arial" w:eastAsia="Arial" w:hAnsi="Arial"/>
          <w:b/>
          <w:u w:val="single"/>
        </w:rPr>
        <w:t>non eccede il 50 per cento</w:t>
      </w:r>
      <w:r>
        <w:rPr>
          <w:rFonts w:ascii="Arial" w:eastAsia="Arial" w:hAnsi="Arial"/>
          <w:b/>
        </w:rPr>
        <w:t xml:space="preserve"> del valore;</w:t>
      </w:r>
    </w:p>
    <w:p w:rsidR="000B0ACB" w:rsidRDefault="000B0ACB">
      <w:pPr>
        <w:spacing w:line="105" w:lineRule="exact"/>
        <w:rPr>
          <w:rFonts w:ascii="Arial" w:eastAsia="Arial" w:hAnsi="Arial"/>
          <w:b/>
          <w:sz w:val="22"/>
        </w:rPr>
      </w:pPr>
    </w:p>
    <w:p w:rsidR="000B0ACB" w:rsidRDefault="000B0ACB" w:rsidP="000B0ACB">
      <w:pPr>
        <w:numPr>
          <w:ilvl w:val="0"/>
          <w:numId w:val="36"/>
        </w:numPr>
        <w:tabs>
          <w:tab w:val="left" w:pos="1236"/>
        </w:tabs>
        <w:spacing w:line="241" w:lineRule="auto"/>
        <w:ind w:left="960" w:hanging="6"/>
        <w:jc w:val="both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19"/>
        </w:rPr>
        <w:t xml:space="preserve">modifiche per il </w:t>
      </w:r>
      <w:r>
        <w:rPr>
          <w:rFonts w:ascii="Arial" w:eastAsia="Arial" w:hAnsi="Arial"/>
          <w:b/>
          <w:sz w:val="19"/>
          <w:u w:val="single"/>
        </w:rPr>
        <w:t>subentro di un nuovo contraente</w:t>
      </w:r>
      <w:r>
        <w:rPr>
          <w:rFonts w:ascii="Arial" w:eastAsia="Arial" w:hAnsi="Arial"/>
          <w:b/>
          <w:sz w:val="19"/>
        </w:rPr>
        <w:t xml:space="preserve"> che sostituisce quello a cui la stazione appaltante aveva inizialmente aggiudicato l’appalto (a causa di una delle seguenti circostanze: clausola di revisione inequivocabile - successione per causa di morte o per modifiche societarie ma </w:t>
      </w:r>
      <w:r>
        <w:rPr>
          <w:rFonts w:ascii="Arial" w:eastAsia="Arial" w:hAnsi="Arial"/>
          <w:b/>
          <w:sz w:val="19"/>
          <w:u w:val="single"/>
        </w:rPr>
        <w:t>senza altre modifiche sostanziali al contratto - l’amministrazione si assume gli obblighi del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23"/>
        </w:rPr>
        <w:br w:type="column"/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95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c. 1, lett. c) e c. 7</w:t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03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c. 1, lett. d)</w:t>
      </w:r>
    </w:p>
    <w:p w:rsidR="000B0ACB" w:rsidRDefault="000B0ACB">
      <w:pPr>
        <w:spacing w:line="0" w:lineRule="atLeast"/>
        <w:rPr>
          <w:rFonts w:ascii="Arial" w:eastAsia="Arial" w:hAnsi="Arial"/>
          <w:b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num="2" w:space="0" w:equalWidth="0">
            <w:col w:w="9860" w:space="140"/>
            <w:col w:w="5880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59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60"/>
        <w:rPr>
          <w:rFonts w:ascii="Arial" w:eastAsia="Arial" w:hAnsi="Arial"/>
          <w:b/>
        </w:rPr>
      </w:pPr>
      <w:bookmarkStart w:id="63" w:name="page61"/>
      <w:bookmarkEnd w:id="63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114300</wp:posOffset>
            </wp:positionV>
            <wp:extent cx="10117455" cy="6141085"/>
            <wp:effectExtent l="19050" t="0" r="0" b="0"/>
            <wp:wrapNone/>
            <wp:docPr id="90" name="Immagin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614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194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contraente principale nei confronti dei suoi subappaltatori)</w:t>
      </w:r>
    </w:p>
    <w:p w:rsidR="000B0ACB" w:rsidRDefault="000B0ACB">
      <w:pPr>
        <w:spacing w:line="104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0"/>
          <w:numId w:val="37"/>
        </w:numPr>
        <w:tabs>
          <w:tab w:val="left" w:pos="1205"/>
        </w:tabs>
        <w:spacing w:line="225" w:lineRule="auto"/>
        <w:ind w:left="960" w:right="4340" w:hanging="6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</w:rPr>
        <w:t xml:space="preserve">modifiche </w:t>
      </w:r>
      <w:r>
        <w:rPr>
          <w:rFonts w:ascii="Arial" w:eastAsia="Arial" w:hAnsi="Arial"/>
          <w:b/>
          <w:u w:val="single"/>
        </w:rPr>
        <w:t>non sostanziali e la stazione appaltante ha stabilito nei documenti di gara soglie di</w:t>
      </w:r>
      <w:r>
        <w:rPr>
          <w:rFonts w:ascii="Arial" w:eastAsia="Arial" w:hAnsi="Arial"/>
          <w:b/>
        </w:rPr>
        <w:t xml:space="preserve"> c. 1, lett. e) e c. 4 </w:t>
      </w:r>
      <w:r>
        <w:rPr>
          <w:rFonts w:ascii="Arial" w:eastAsia="Arial" w:hAnsi="Arial"/>
          <w:b/>
          <w:u w:val="single"/>
        </w:rPr>
        <w:t>importi per consentire</w:t>
      </w:r>
      <w:r>
        <w:rPr>
          <w:rFonts w:ascii="Arial" w:eastAsia="Arial" w:hAnsi="Arial"/>
          <w:b/>
        </w:rPr>
        <w:t xml:space="preserve"> tali modifiche (una modifica è considerata sostanziale quando muta sostanzialmente la natura del contratto quadro rispetto a quello inizialmente concluso);</w:t>
      </w:r>
    </w:p>
    <w:p w:rsidR="000B0ACB" w:rsidRDefault="000B0ACB" w:rsidP="000B0ACB">
      <w:pPr>
        <w:numPr>
          <w:ilvl w:val="0"/>
          <w:numId w:val="37"/>
        </w:numPr>
        <w:tabs>
          <w:tab w:val="left" w:pos="1160"/>
        </w:tabs>
        <w:spacing w:line="184" w:lineRule="auto"/>
        <w:ind w:left="1160" w:hanging="206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</w:rPr>
        <w:t xml:space="preserve">per </w:t>
      </w:r>
      <w:r>
        <w:rPr>
          <w:rFonts w:ascii="Arial" w:eastAsia="Arial" w:hAnsi="Arial"/>
          <w:b/>
          <w:u w:val="single"/>
        </w:rPr>
        <w:t>modifiche a causa di errori o di omissioni del progetto esecutivo</w:t>
      </w:r>
      <w:r>
        <w:rPr>
          <w:rFonts w:ascii="Arial" w:eastAsia="Arial" w:hAnsi="Arial"/>
          <w:b/>
        </w:rPr>
        <w:t xml:space="preserve"> che pregiudicano, in tutto o in  </w:t>
      </w:r>
      <w:r>
        <w:rPr>
          <w:rFonts w:ascii="Arial" w:eastAsia="Arial" w:hAnsi="Arial"/>
          <w:b/>
          <w:sz w:val="39"/>
          <w:vertAlign w:val="subscript"/>
        </w:rPr>
        <w:t>c. 2</w:t>
      </w:r>
    </w:p>
    <w:p w:rsidR="000B0ACB" w:rsidRDefault="000B0ACB">
      <w:pPr>
        <w:spacing w:line="236" w:lineRule="auto"/>
        <w:ind w:left="960" w:right="60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parte, la realizzazione del servizio o fornitura o la sua utilizzazione, senza necessità di una nuova procedura, se il valore della modifica è al di sotto di entrambi i seguenti valori:</w:t>
      </w:r>
    </w:p>
    <w:p w:rsidR="000B0ACB" w:rsidRDefault="000B0ACB">
      <w:pPr>
        <w:spacing w:line="61" w:lineRule="exact"/>
        <w:rPr>
          <w:rFonts w:ascii="Times New Roman" w:eastAsia="Times New Roman" w:hAnsi="Times New Roman"/>
        </w:rPr>
      </w:pPr>
    </w:p>
    <w:p w:rsidR="000B0ACB" w:rsidRDefault="000B0ACB" w:rsidP="000B0ACB">
      <w:pPr>
        <w:numPr>
          <w:ilvl w:val="1"/>
          <w:numId w:val="38"/>
        </w:numPr>
        <w:tabs>
          <w:tab w:val="left" w:pos="1520"/>
        </w:tabs>
        <w:spacing w:line="0" w:lineRule="atLeast"/>
        <w:ind w:left="1520" w:hanging="237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le </w:t>
      </w:r>
      <w:r>
        <w:rPr>
          <w:rFonts w:ascii="Arial" w:eastAsia="Arial" w:hAnsi="Arial"/>
          <w:b/>
          <w:u w:val="single"/>
        </w:rPr>
        <w:t>soglie fissate all’articolo 35</w:t>
      </w:r>
      <w:r>
        <w:rPr>
          <w:rFonts w:ascii="Arial" w:eastAsia="Arial" w:hAnsi="Arial"/>
          <w:b/>
        </w:rPr>
        <w:t>;</w:t>
      </w:r>
    </w:p>
    <w:p w:rsidR="000B0ACB" w:rsidRDefault="000B0ACB">
      <w:pPr>
        <w:spacing w:line="60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1"/>
          <w:numId w:val="38"/>
        </w:numPr>
        <w:tabs>
          <w:tab w:val="left" w:pos="1520"/>
        </w:tabs>
        <w:spacing w:line="0" w:lineRule="atLeast"/>
        <w:ind w:left="1520" w:hanging="237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il </w:t>
      </w:r>
      <w:r>
        <w:rPr>
          <w:rFonts w:ascii="Arial" w:eastAsia="Arial" w:hAnsi="Arial"/>
          <w:b/>
          <w:u w:val="single"/>
        </w:rPr>
        <w:t>10 per cento del valore iniziale</w:t>
      </w:r>
      <w:r>
        <w:rPr>
          <w:rFonts w:ascii="Arial" w:eastAsia="Arial" w:hAnsi="Arial"/>
          <w:b/>
        </w:rPr>
        <w:t xml:space="preserve"> del contratto sia nei settori ordinari che speciali;</w:t>
      </w:r>
    </w:p>
    <w:p w:rsidR="000B0ACB" w:rsidRDefault="000B0ACB">
      <w:pPr>
        <w:spacing w:line="104" w:lineRule="exact"/>
        <w:rPr>
          <w:rFonts w:ascii="Arial" w:eastAsia="Arial" w:hAnsi="Arial"/>
          <w:b/>
        </w:rPr>
      </w:pPr>
    </w:p>
    <w:p w:rsidR="000B0ACB" w:rsidRDefault="000B0ACB" w:rsidP="000B0ACB">
      <w:pPr>
        <w:numPr>
          <w:ilvl w:val="0"/>
          <w:numId w:val="38"/>
        </w:numPr>
        <w:tabs>
          <w:tab w:val="left" w:pos="1188"/>
        </w:tabs>
        <w:spacing w:line="182" w:lineRule="auto"/>
        <w:ind w:left="960" w:right="5440" w:hanging="6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19"/>
        </w:rPr>
        <w:t xml:space="preserve">modifiche per </w:t>
      </w:r>
      <w:r>
        <w:rPr>
          <w:rFonts w:ascii="Arial" w:eastAsia="Arial" w:hAnsi="Arial"/>
          <w:b/>
          <w:sz w:val="19"/>
          <w:u w:val="single"/>
        </w:rPr>
        <w:t>necessario aumento o diminuzione delle prestazioni fino a concorrenza del quinto</w:t>
      </w:r>
      <w:r>
        <w:rPr>
          <w:rFonts w:ascii="Arial" w:eastAsia="Arial" w:hAnsi="Arial"/>
          <w:b/>
          <w:sz w:val="19"/>
        </w:rPr>
        <w:t xml:space="preserve"> </w:t>
      </w:r>
      <w:r>
        <w:rPr>
          <w:rFonts w:ascii="Arial" w:eastAsia="Arial" w:hAnsi="Arial"/>
          <w:b/>
          <w:sz w:val="19"/>
          <w:u w:val="single"/>
        </w:rPr>
        <w:t>dell’importo del contratto</w:t>
      </w:r>
      <w:r>
        <w:rPr>
          <w:rFonts w:ascii="Arial" w:eastAsia="Arial" w:hAnsi="Arial"/>
          <w:b/>
          <w:sz w:val="19"/>
        </w:rPr>
        <w:t xml:space="preserve">, alle stesse condizioni previste nel contratto originario (in tal caso </w:t>
      </w:r>
      <w:r>
        <w:rPr>
          <w:rFonts w:ascii="Arial" w:eastAsia="Arial" w:hAnsi="Arial"/>
          <w:b/>
          <w:sz w:val="37"/>
          <w:vertAlign w:val="superscript"/>
        </w:rPr>
        <w:t>c. 12</w:t>
      </w:r>
      <w:r>
        <w:rPr>
          <w:rFonts w:ascii="Arial" w:eastAsia="Arial" w:hAnsi="Arial"/>
          <w:b/>
          <w:sz w:val="19"/>
        </w:rPr>
        <w:t xml:space="preserve"> l’appaltatore non può far valere il diritto alla risoluzione del contratto).</w:t>
      </w:r>
    </w:p>
    <w:p w:rsidR="000B0ACB" w:rsidRDefault="000B0ACB">
      <w:pPr>
        <w:spacing w:line="144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40"/>
        </w:tabs>
        <w:spacing w:line="236" w:lineRule="auto"/>
        <w:ind w:left="960" w:right="4780" w:hanging="8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A.2.5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</w:rPr>
        <w:t xml:space="preserve">Se è stato modificato un contratto nelle situazioni di cui al comma 1, lettere b) e c), presenza della art. 106, c. 5 </w:t>
      </w:r>
      <w:r>
        <w:rPr>
          <w:rFonts w:ascii="Arial" w:eastAsia="Arial" w:hAnsi="Arial"/>
          <w:b/>
          <w:u w:val="single"/>
        </w:rPr>
        <w:t>pubblicazione di un avviso</w:t>
      </w:r>
      <w:r>
        <w:rPr>
          <w:rFonts w:ascii="Arial" w:eastAsia="Arial" w:hAnsi="Arial"/>
          <w:b/>
        </w:rPr>
        <w:t xml:space="preserve"> al riguardo nella Gazzetta ufficiale dell’Unione europea (per i contratti di</w:t>
      </w:r>
    </w:p>
    <w:p w:rsidR="000B0ACB" w:rsidRDefault="000B0ACB">
      <w:pPr>
        <w:spacing w:line="1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9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importo inferiore alla soglia di cui all’articolo 35, la pubblicità avviene in ambito nazionale)</w:t>
      </w:r>
    </w:p>
    <w:p w:rsidR="000B0ACB" w:rsidRDefault="000B0ACB">
      <w:pPr>
        <w:spacing w:line="231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960"/>
        <w:gridCol w:w="220"/>
        <w:gridCol w:w="80"/>
        <w:gridCol w:w="1100"/>
        <w:gridCol w:w="680"/>
        <w:gridCol w:w="60"/>
        <w:gridCol w:w="80"/>
        <w:gridCol w:w="120"/>
        <w:gridCol w:w="900"/>
        <w:gridCol w:w="1340"/>
        <w:gridCol w:w="480"/>
        <w:gridCol w:w="880"/>
        <w:gridCol w:w="460"/>
        <w:gridCol w:w="2560"/>
        <w:gridCol w:w="20"/>
        <w:gridCol w:w="1820"/>
        <w:gridCol w:w="20"/>
        <w:gridCol w:w="400"/>
        <w:gridCol w:w="20"/>
        <w:gridCol w:w="540"/>
        <w:gridCol w:w="20"/>
        <w:gridCol w:w="400"/>
        <w:gridCol w:w="20"/>
        <w:gridCol w:w="560"/>
        <w:gridCol w:w="20"/>
        <w:gridCol w:w="2120"/>
      </w:tblGrid>
      <w:tr w:rsidR="000B0ACB">
        <w:trPr>
          <w:trHeight w:val="23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A.2.6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Se è stato modificato un contratto nelle situazioni di cui al comma 1, lettera b) e al comma 2,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106, c. 8</w:t>
            </w:r>
          </w:p>
        </w:tc>
      </w:tr>
      <w:tr w:rsidR="000B0ACB">
        <w:trPr>
          <w:trHeight w:val="23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 xml:space="preserve">presenza della </w:t>
            </w:r>
            <w:r>
              <w:rPr>
                <w:rFonts w:ascii="Arial" w:eastAsia="Arial" w:hAnsi="Arial"/>
                <w:b/>
                <w:w w:val="95"/>
                <w:u w:val="single"/>
              </w:rPr>
              <w:t>comunicazione all’ANAC delle modificazioni al contratto entro trenta giorni</w:t>
            </w:r>
            <w:r>
              <w:rPr>
                <w:rFonts w:ascii="Arial" w:eastAsia="Arial" w:hAnsi="Arial"/>
                <w:b/>
                <w:w w:val="95"/>
              </w:rPr>
              <w:t xml:space="preserve"> dal loro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8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perfezionamento.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29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26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A.2.7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La durata del contratto è stata modificata in corso di esecuzione ed era prevista nel bando e nei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106, c. 11</w:t>
            </w: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1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documenti di gara una opzione di proroga tecnica (limitata al tempo strettamente necessario alla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3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b/>
                <w:w w:val="96"/>
              </w:rPr>
              <w:t>conclusione delle procedure necessarie per l’individuazione di un nuovo contraente - esecuzione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prestazioni previste nel contratto agli stessi prezzi, patti e condizioni o più favorevoli per la SA)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0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1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6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A.2.8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Per i contratti pubblici di importo inferiore alla soglia comunitaria, le varianti in corso d’opera dei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106, c. 14</w:t>
            </w: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0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gridSpan w:val="2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8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1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contratti, se di importo inferiore o pari al 10 per cento dell’importo originario del contratto, sono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20" w:type="dxa"/>
            <w:gridSpan w:val="3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2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gridSpan w:val="2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340" w:type="dxa"/>
            <w:gridSpan w:val="2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08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08" w:lineRule="exact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comunicate dal RUP all’Osservatorio di cui all’articolo 213, tramite le sezioni regionali, entro trenta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00" w:type="dxa"/>
            <w:gridSpan w:val="5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2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16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giorni dall’approvazione da parte della stazione appaltante per le valutazioni e gli eventuali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provvedimenti di competenza.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64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60" w:type="dxa"/>
            <w:gridSpan w:val="1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6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A.2.9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  <w:w w:val="93"/>
              </w:rPr>
            </w:pPr>
            <w:r>
              <w:rPr>
                <w:rFonts w:ascii="Arial" w:eastAsia="Arial" w:hAnsi="Arial"/>
                <w:b/>
                <w:w w:val="93"/>
              </w:rPr>
              <w:t>Per i contratti pubblici di importo pari o superiore alla soglia comunitaria, le varianti in corso d’opera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106, c. 14</w:t>
            </w: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0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20" w:type="dxa"/>
            <w:gridSpan w:val="2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160" w:type="dxa"/>
            <w:gridSpan w:val="4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1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10" w:lineRule="exact"/>
              <w:rPr>
                <w:rFonts w:ascii="Arial" w:eastAsia="Arial" w:hAnsi="Arial"/>
                <w:b/>
                <w:w w:val="94"/>
              </w:rPr>
            </w:pPr>
            <w:r>
              <w:rPr>
                <w:rFonts w:ascii="Arial" w:eastAsia="Arial" w:hAnsi="Arial"/>
                <w:b/>
                <w:w w:val="94"/>
              </w:rPr>
              <w:t>di importo eccedente il 10 per cento dell’importo originario del contratto, incluse le varianti in corso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0B0ACB">
        <w:trPr>
          <w:trHeight w:val="2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020" w:type="dxa"/>
            <w:gridSpan w:val="7"/>
            <w:shd w:val="clear" w:color="auto" w:fill="000000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720" w:type="dxa"/>
            <w:gridSpan w:val="5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0B0ACB">
        <w:trPr>
          <w:trHeight w:val="23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d’opera riferite a infrastrutture strategiche, sono trasmesse dal RUP all’ANAC, unitamente al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30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progetto esecutivo, all’atto di validazione e ad una apposita relazione del RUP, entro 30 giorni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B0ACB">
        <w:trPr>
          <w:trHeight w:val="228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228" w:lineRule="exact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dall’approvazione da parte della stazione appaltante (pena sanzioni amministrative pecuniarie)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B0ACB">
        <w:trPr>
          <w:trHeight w:val="64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960" w:type="dxa"/>
            <w:gridSpan w:val="1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0B0ACB">
        <w:trPr>
          <w:trHeight w:val="284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A.2.10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nomina verificatore/i (da uno a tre)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102, c. 6</w:t>
            </w:r>
          </w:p>
        </w:tc>
      </w:tr>
      <w:tr w:rsidR="000B0ACB">
        <w:trPr>
          <w:trHeight w:val="102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960" w:type="dxa"/>
            <w:gridSpan w:val="1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B0ACB">
        <w:trPr>
          <w:trHeight w:val="281"/>
        </w:trPr>
        <w:tc>
          <w:tcPr>
            <w:tcW w:w="96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A.2.11</w:t>
            </w:r>
          </w:p>
        </w:tc>
        <w:tc>
          <w:tcPr>
            <w:tcW w:w="8960" w:type="dxa"/>
            <w:gridSpan w:val="13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Presenza del certificato di verifica di conformità o del certificato di regolare esecuzione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40" w:type="dxa"/>
            <w:gridSpan w:val="11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art. 102, c. 8</w:t>
            </w:r>
          </w:p>
        </w:tc>
      </w:tr>
      <w:tr w:rsidR="000B0ACB">
        <w:trPr>
          <w:trHeight w:val="102"/>
        </w:trPr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B0ACB" w:rsidRDefault="000B0ACB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0B0ACB" w:rsidRDefault="000B0ACB">
      <w:pPr>
        <w:rPr>
          <w:rFonts w:ascii="Times New Roman" w:eastAsia="Times New Roman" w:hAnsi="Times New Roman"/>
          <w:sz w:val="8"/>
        </w:rPr>
        <w:sectPr w:rsidR="000B0ACB"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146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60</w:t>
      </w:r>
    </w:p>
    <w:p w:rsidR="000B0ACB" w:rsidRDefault="000B0ACB">
      <w:pPr>
        <w:spacing w:line="0" w:lineRule="atLeast"/>
        <w:ind w:left="13640"/>
        <w:rPr>
          <w:rFonts w:ascii="Arial" w:eastAsia="Arial" w:hAnsi="Arial"/>
          <w:b/>
          <w:sz w:val="23"/>
        </w:rPr>
        <w:sectPr w:rsidR="000B0ACB">
          <w:type w:val="continuous"/>
          <w:pgSz w:w="16840" w:h="11906" w:orient="landscape"/>
          <w:pgMar w:top="702" w:right="398" w:bottom="167" w:left="560" w:header="0" w:footer="0" w:gutter="0"/>
          <w:cols w:space="0" w:equalWidth="0">
            <w:col w:w="15880"/>
          </w:cols>
          <w:docGrid w:linePitch="360"/>
        </w:sectPr>
      </w:pPr>
    </w:p>
    <w:p w:rsidR="000B0ACB" w:rsidRDefault="000B0ACB">
      <w:pPr>
        <w:spacing w:line="0" w:lineRule="atLeast"/>
        <w:ind w:left="880"/>
        <w:rPr>
          <w:rFonts w:ascii="Arial" w:eastAsia="Arial" w:hAnsi="Arial"/>
          <w:b/>
        </w:rPr>
      </w:pPr>
      <w:bookmarkStart w:id="64" w:name="page62"/>
      <w:bookmarkEnd w:id="64"/>
    </w:p>
    <w:p w:rsidR="000B0ACB" w:rsidRDefault="003742A6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114300</wp:posOffset>
            </wp:positionV>
            <wp:extent cx="10117455" cy="5586730"/>
            <wp:effectExtent l="19050" t="0" r="0" b="0"/>
            <wp:wrapNone/>
            <wp:docPr id="91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455" cy="558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0ACB" w:rsidRDefault="000B0ACB">
      <w:pPr>
        <w:spacing w:line="202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002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Decreto MIT</w:t>
      </w:r>
    </w:p>
    <w:p w:rsidR="000B0ACB" w:rsidRDefault="000B0ACB">
      <w:pPr>
        <w:spacing w:line="245" w:lineRule="exact"/>
        <w:rPr>
          <w:rFonts w:ascii="Times New Roman" w:eastAsia="Times New Roman" w:hAnsi="Times New Roman"/>
        </w:rPr>
      </w:pPr>
    </w:p>
    <w:p w:rsidR="000B0ACB" w:rsidRDefault="000B0ACB">
      <w:pPr>
        <w:tabs>
          <w:tab w:val="left" w:pos="960"/>
        </w:tabs>
        <w:spacing w:line="236" w:lineRule="auto"/>
        <w:ind w:left="980" w:right="3738" w:hanging="87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A.2.12</w:t>
      </w:r>
      <w:r>
        <w:rPr>
          <w:rFonts w:ascii="Arial" w:eastAsia="Arial" w:hAnsi="Arial"/>
          <w:b/>
        </w:rPr>
        <w:tab/>
        <w:t>All’esito positivo della verifica di conformità il responsabile unico del procedimento ha rilasciato il art. 102, c. 4 certificato di pagamento ai fini dell’emissione della fattura da parte dell’appaltatore.</w:t>
      </w:r>
    </w:p>
    <w:p w:rsidR="000B0ACB" w:rsidRDefault="000B0ACB">
      <w:pPr>
        <w:spacing w:line="16" w:lineRule="exact"/>
        <w:rPr>
          <w:rFonts w:ascii="Times New Roman" w:eastAsia="Times New Roman" w:hAnsi="Times New Roman"/>
        </w:rPr>
      </w:pPr>
    </w:p>
    <w:p w:rsidR="000B0ACB" w:rsidRDefault="003742A6">
      <w:pPr>
        <w:spacing w:line="0" w:lineRule="atLeast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31750" cy="278130"/>
            <wp:effectExtent l="19050" t="0" r="635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A.2.13  </w:t>
      </w:r>
      <w:r>
        <w:rPr>
          <w:rFonts w:ascii="Arial" w:eastAsia="Arial" w:hAnsi="Arial"/>
          <w:b/>
          <w:noProof/>
        </w:rPr>
        <w:drawing>
          <wp:inline distT="0" distB="0" distL="0" distR="0">
            <wp:extent cx="31750" cy="278130"/>
            <wp:effectExtent l="19050" t="0" r="635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CB">
        <w:rPr>
          <w:rFonts w:ascii="Arial" w:eastAsia="Arial" w:hAnsi="Arial"/>
          <w:b/>
        </w:rPr>
        <w:t xml:space="preserve"> Il contratto si è concluso nei tempi previsti</w:t>
      </w:r>
    </w:p>
    <w:p w:rsidR="000B0ACB" w:rsidRDefault="000B0ACB">
      <w:pPr>
        <w:spacing w:line="0" w:lineRule="atLeast"/>
        <w:rPr>
          <w:rFonts w:ascii="Arial" w:eastAsia="Arial" w:hAnsi="Arial"/>
          <w:b/>
        </w:rPr>
        <w:sectPr w:rsidR="000B0ACB">
          <w:pgSz w:w="16840" w:h="11906" w:orient="landscape"/>
          <w:pgMar w:top="702" w:right="1440" w:bottom="167" w:left="540" w:header="0" w:footer="0" w:gutter="0"/>
          <w:cols w:space="0" w:equalWidth="0">
            <w:col w:w="14858"/>
          </w:cols>
          <w:docGrid w:linePitch="360"/>
        </w:sect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B70C82" w:rsidP="00B70C82">
      <w:pPr>
        <w:tabs>
          <w:tab w:val="left" w:pos="13605"/>
        </w:tabs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200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339" w:lineRule="exact"/>
        <w:rPr>
          <w:rFonts w:ascii="Times New Roman" w:eastAsia="Times New Roman" w:hAnsi="Times New Roman"/>
        </w:rPr>
      </w:pPr>
    </w:p>
    <w:p w:rsidR="000B0ACB" w:rsidRDefault="000B0ACB">
      <w:pPr>
        <w:spacing w:line="0" w:lineRule="atLeast"/>
        <w:ind w:left="13660"/>
        <w:rPr>
          <w:rFonts w:ascii="Arial" w:eastAsia="Arial" w:hAnsi="Arial"/>
          <w:b/>
          <w:sz w:val="23"/>
        </w:rPr>
      </w:pPr>
      <w:r>
        <w:rPr>
          <w:rFonts w:ascii="Arial" w:eastAsia="Arial" w:hAnsi="Arial"/>
          <w:b/>
          <w:sz w:val="23"/>
        </w:rPr>
        <w:t>61</w:t>
      </w:r>
    </w:p>
    <w:sectPr w:rsidR="000B0ACB">
      <w:type w:val="continuous"/>
      <w:pgSz w:w="16840" w:h="11906" w:orient="landscape"/>
      <w:pgMar w:top="702" w:right="1440" w:bottom="167" w:left="540" w:header="0" w:footer="0" w:gutter="0"/>
      <w:cols w:space="0" w:equalWidth="0">
        <w:col w:w="1485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1F7" w:rsidRDefault="00BF61F7" w:rsidP="0063618F">
      <w:r>
        <w:separator/>
      </w:r>
    </w:p>
  </w:endnote>
  <w:endnote w:type="continuationSeparator" w:id="1">
    <w:p w:rsidR="00BF61F7" w:rsidRDefault="00BF61F7" w:rsidP="00636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Light">
    <w:altName w:val="Calibri"/>
    <w:charset w:val="00"/>
    <w:family w:val="swiss"/>
    <w:pitch w:val="variable"/>
    <w:sig w:usb0="00000001" w:usb1="5000ECFF" w:usb2="00000021" w:usb3="00000000" w:csb0="0000019F" w:csb1="00000000"/>
  </w:font>
  <w:font w:name="Lato Medium">
    <w:altName w:val="Arial"/>
    <w:charset w:val="00"/>
    <w:family w:val="swiss"/>
    <w:pitch w:val="variable"/>
    <w:sig w:usb0="00000001" w:usb1="5000ECFF" w:usb2="00000021" w:usb3="00000000" w:csb0="0000019F" w:csb1="00000000"/>
  </w:font>
  <w:font w:name="Oswald Regular">
    <w:altName w:val="Arial Narrow"/>
    <w:panose1 w:val="00000500000000000000"/>
    <w:charset w:val="00"/>
    <w:family w:val="auto"/>
    <w:pitch w:val="variable"/>
    <w:sig w:usb0="A00002EF" w:usb1="4000204B" w:usb2="00000000" w:usb3="00000000" w:csb0="00000097" w:csb1="00000000"/>
  </w:font>
  <w:font w:name="Lato Heavy">
    <w:altName w:val="Arial"/>
    <w:charset w:val="00"/>
    <w:family w:val="swiss"/>
    <w:pitch w:val="variable"/>
    <w:sig w:usb0="00000001" w:usb1="5000ECFF" w:usb2="00000021" w:usb3="00000000" w:csb0="0000019F" w:csb1="00000000"/>
  </w:font>
  <w:font w:name="Lato Bold">
    <w:altName w:val="Lato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1F7" w:rsidRDefault="00BF61F7" w:rsidP="0063618F">
      <w:r>
        <w:separator/>
      </w:r>
    </w:p>
  </w:footnote>
  <w:footnote w:type="continuationSeparator" w:id="1">
    <w:p w:rsidR="00BF61F7" w:rsidRDefault="00BF61F7" w:rsidP="00636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97" w:rsidRDefault="00DE2497" w:rsidP="00DE2497">
    <w:pPr>
      <w:pStyle w:val="Intestazione"/>
      <w:jc w:val="right"/>
      <w:rPr>
        <w:rFonts w:ascii="Lato Light" w:hAnsi="Lato Light"/>
        <w:sz w:val="24"/>
        <w:szCs w:val="24"/>
      </w:rPr>
    </w:pPr>
  </w:p>
  <w:p w:rsidR="00DE2497" w:rsidRDefault="00DE2497" w:rsidP="00DE2497">
    <w:pPr>
      <w:pStyle w:val="Intestazione"/>
      <w:jc w:val="right"/>
    </w:pPr>
    <w:r w:rsidRPr="00205432">
      <w:rPr>
        <w:rFonts w:ascii="Lato Light" w:hAnsi="Lato Light"/>
        <w:sz w:val="24"/>
        <w:szCs w:val="24"/>
      </w:rPr>
      <w:t xml:space="preserve">Check list AGEA </w:t>
    </w:r>
    <w:r>
      <w:rPr>
        <w:rFonts w:ascii="Lato Light" w:hAnsi="Lato Light"/>
        <w:sz w:val="24"/>
        <w:szCs w:val="24"/>
      </w:rPr>
      <w:t xml:space="preserve">| </w:t>
    </w:r>
    <w:r w:rsidRPr="00205432">
      <w:rPr>
        <w:rFonts w:ascii="Lato Light" w:hAnsi="Lato Light"/>
        <w:sz w:val="24"/>
        <w:szCs w:val="24"/>
      </w:rPr>
      <w:t>Domanda di pagamento</w:t>
    </w:r>
  </w:p>
  <w:p w:rsidR="00DE2497" w:rsidRDefault="00DE249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8F" w:rsidRDefault="0063618F" w:rsidP="00DE2497">
    <w:pPr>
      <w:pStyle w:val="Intestazione"/>
      <w:jc w:val="right"/>
      <w:rPr>
        <w:rFonts w:ascii="Lato Light" w:hAnsi="Lato Light"/>
        <w:sz w:val="24"/>
        <w:szCs w:val="24"/>
      </w:rPr>
    </w:pPr>
  </w:p>
  <w:p w:rsidR="0063618F" w:rsidRDefault="0063618F" w:rsidP="0063618F">
    <w:pPr>
      <w:pStyle w:val="Intestazione"/>
      <w:jc w:val="right"/>
    </w:pPr>
    <w:bookmarkStart w:id="3" w:name="_Hlk18162756"/>
    <w:bookmarkStart w:id="4" w:name="_Hlk18162757"/>
    <w:r w:rsidRPr="00797608">
      <w:rPr>
        <w:rFonts w:ascii="Lato Light" w:hAnsi="Lato Light"/>
        <w:sz w:val="24"/>
        <w:szCs w:val="24"/>
      </w:rPr>
      <w:t>AGEA – Sviluppo Rurale – checklist per la verifica delle procedure di appalto – vers. 2.3 del 30_01_2018</w:t>
    </w:r>
    <w:bookmarkEnd w:id="3"/>
    <w:bookmarkEnd w:id="4"/>
  </w:p>
  <w:p w:rsidR="0063618F" w:rsidRDefault="0063618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89A769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4E49EB4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1F32454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2CA88610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02901D82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7"/>
    <w:multiLevelType w:val="hybridMultilevel"/>
    <w:tmpl w:val="3A95F874"/>
    <w:lvl w:ilvl="0">
      <w:start w:val="1"/>
      <w:numFmt w:val="bullet"/>
      <w:lvlText w:val=" "/>
      <w:lvlJc w:val="left"/>
    </w:lvl>
    <w:lvl w:ilvl="1">
      <w:start w:val="3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8"/>
    <w:multiLevelType w:val="hybridMultilevel"/>
    <w:tmpl w:val="08138640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00000009"/>
    <w:multiLevelType w:val="hybridMultilevel"/>
    <w:tmpl w:val="1E7FF520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0000000A"/>
    <w:multiLevelType w:val="hybridMultilevel"/>
    <w:tmpl w:val="7C3DBD3C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>
    <w:nsid w:val="0000000C"/>
    <w:multiLevelType w:val="hybridMultilevel"/>
    <w:tmpl w:val="6CEAF086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00000010"/>
    <w:multiLevelType w:val="hybridMultilevel"/>
    <w:tmpl w:val="614FD4A0"/>
    <w:lvl w:ilvl="0">
      <w:start w:val="1"/>
      <w:numFmt w:val="bullet"/>
      <w:lvlText w:val=" 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>
    <w:nsid w:val="00000011"/>
    <w:multiLevelType w:val="hybridMultilevel"/>
    <w:tmpl w:val="419AC240"/>
    <w:lvl w:ilvl="0">
      <w:start w:val="1"/>
      <w:numFmt w:val="bullet"/>
      <w:lvlText w:val=" "/>
      <w:lvlJc w:val="left"/>
    </w:lvl>
    <w:lvl w:ilvl="1">
      <w:start w:val="3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00000012"/>
    <w:multiLevelType w:val="hybridMultilevel"/>
    <w:tmpl w:val="5577F8E0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>
    <w:nsid w:val="00000013"/>
    <w:multiLevelType w:val="hybridMultilevel"/>
    <w:tmpl w:val="440BADFC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4">
    <w:nsid w:val="00000014"/>
    <w:multiLevelType w:val="hybridMultilevel"/>
    <w:tmpl w:val="05072366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5">
    <w:nsid w:val="00000019"/>
    <w:multiLevelType w:val="hybridMultilevel"/>
    <w:tmpl w:val="2463B9EA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6">
    <w:nsid w:val="0000001A"/>
    <w:multiLevelType w:val="hybridMultilevel"/>
    <w:tmpl w:val="5E884ADC"/>
    <w:lvl w:ilvl="0">
      <w:start w:val="1"/>
      <w:numFmt w:val="bullet"/>
      <w:lvlText w:val=" "/>
      <w:lvlJc w:val="left"/>
    </w:lvl>
    <w:lvl w:ilvl="1">
      <w:start w:val="3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7">
    <w:nsid w:val="0000001B"/>
    <w:multiLevelType w:val="hybridMultilevel"/>
    <w:tmpl w:val="51EAD36A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8">
    <w:nsid w:val="0000001C"/>
    <w:multiLevelType w:val="hybridMultilevel"/>
    <w:tmpl w:val="2D517796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9">
    <w:nsid w:val="0000001D"/>
    <w:multiLevelType w:val="hybridMultilevel"/>
    <w:tmpl w:val="580BD78E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0">
    <w:nsid w:val="0000001E"/>
    <w:multiLevelType w:val="hybridMultilevel"/>
    <w:tmpl w:val="153EA438"/>
    <w:lvl w:ilvl="0">
      <w:start w:val="1"/>
      <w:numFmt w:val="bullet"/>
      <w:lvlText w:val=" 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>
    <w:nsid w:val="00000022"/>
    <w:multiLevelType w:val="hybridMultilevel"/>
    <w:tmpl w:val="2A487CB0"/>
    <w:lvl w:ilvl="0">
      <w:start w:val="1"/>
      <w:numFmt w:val="bullet"/>
      <w:lvlText w:val="F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2">
    <w:nsid w:val="00000023"/>
    <w:multiLevelType w:val="hybridMultilevel"/>
    <w:tmpl w:val="1D4ED43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3">
    <w:nsid w:val="00000024"/>
    <w:multiLevelType w:val="hybridMultilevel"/>
    <w:tmpl w:val="725A06F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4">
    <w:nsid w:val="00000025"/>
    <w:multiLevelType w:val="hybridMultilevel"/>
    <w:tmpl w:val="2CD89A32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5">
    <w:nsid w:val="00000026"/>
    <w:multiLevelType w:val="hybridMultilevel"/>
    <w:tmpl w:val="57E4CCAE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6">
    <w:nsid w:val="00000027"/>
    <w:multiLevelType w:val="hybridMultilevel"/>
    <w:tmpl w:val="7A6D8D3C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7">
    <w:nsid w:val="00000028"/>
    <w:multiLevelType w:val="hybridMultilevel"/>
    <w:tmpl w:val="4B588F54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8">
    <w:nsid w:val="00000029"/>
    <w:multiLevelType w:val="hybridMultilevel"/>
    <w:tmpl w:val="542289EC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9">
    <w:nsid w:val="0000002A"/>
    <w:multiLevelType w:val="hybridMultilevel"/>
    <w:tmpl w:val="6DE91B18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0">
    <w:nsid w:val="0000002B"/>
    <w:multiLevelType w:val="hybridMultilevel"/>
    <w:tmpl w:val="38437FDA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1">
    <w:nsid w:val="0000002D"/>
    <w:multiLevelType w:val="hybridMultilevel"/>
    <w:tmpl w:val="32FFF902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2">
    <w:nsid w:val="0000002E"/>
    <w:multiLevelType w:val="hybridMultilevel"/>
    <w:tmpl w:val="684A481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3">
    <w:nsid w:val="0000002F"/>
    <w:multiLevelType w:val="hybridMultilevel"/>
    <w:tmpl w:val="579478FE"/>
    <w:lvl w:ilvl="0">
      <w:start w:val="1"/>
      <w:numFmt w:val="bullet"/>
      <w:lvlText w:val="□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4">
    <w:nsid w:val="00000031"/>
    <w:multiLevelType w:val="hybridMultilevel"/>
    <w:tmpl w:val="3DC240F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5">
    <w:nsid w:val="00000032"/>
    <w:multiLevelType w:val="hybridMultilevel"/>
    <w:tmpl w:val="1BA026F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6">
    <w:nsid w:val="00000033"/>
    <w:multiLevelType w:val="hybridMultilevel"/>
    <w:tmpl w:val="79A1DEAA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7">
    <w:nsid w:val="00000034"/>
    <w:multiLevelType w:val="hybridMultilevel"/>
    <w:tmpl w:val="75C6C33A"/>
    <w:lvl w:ilvl="0">
      <w:start w:val="1"/>
      <w:numFmt w:val="bullet"/>
      <w:lvlText w:val="□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7ED4"/>
    <w:rsid w:val="000B0ACB"/>
    <w:rsid w:val="00182397"/>
    <w:rsid w:val="003742A6"/>
    <w:rsid w:val="0063618F"/>
    <w:rsid w:val="007D13A9"/>
    <w:rsid w:val="0096293C"/>
    <w:rsid w:val="00B70C82"/>
    <w:rsid w:val="00BF61F7"/>
    <w:rsid w:val="00D210E8"/>
    <w:rsid w:val="00D77ED4"/>
    <w:rsid w:val="00DE2497"/>
    <w:rsid w:val="00F4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618F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18F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GrandePaola">
    <w:name w:val="Titolo Grande Paola"/>
    <w:next w:val="Normale"/>
    <w:qFormat/>
    <w:rsid w:val="0063618F"/>
    <w:pPr>
      <w:spacing w:before="240" w:line="259" w:lineRule="auto"/>
    </w:pPr>
    <w:rPr>
      <w:rFonts w:ascii="Lato Light" w:eastAsia="Times New Roman" w:hAnsi="Lato Light" w:cs="Times New Roman"/>
      <w:color w:val="E9B30E"/>
      <w:sz w:val="76"/>
      <w:szCs w:val="32"/>
      <w:lang w:eastAsia="en-US"/>
    </w:rPr>
  </w:style>
  <w:style w:type="paragraph" w:customStyle="1" w:styleId="Titolo1GAL">
    <w:name w:val="Titolo 1 GAL"/>
    <w:basedOn w:val="Titolo1"/>
    <w:next w:val="Normale"/>
    <w:qFormat/>
    <w:rsid w:val="0063618F"/>
    <w:pPr>
      <w:keepLines/>
      <w:spacing w:before="480" w:after="100" w:line="259" w:lineRule="auto"/>
    </w:pPr>
    <w:rPr>
      <w:rFonts w:ascii="Lato Medium" w:hAnsi="Lato Medium"/>
      <w:b w:val="0"/>
      <w:bCs w:val="0"/>
      <w:color w:val="B75C9E"/>
      <w:kern w:val="0"/>
      <w:sz w:val="48"/>
      <w:lang w:eastAsia="en-US"/>
    </w:rPr>
  </w:style>
  <w:style w:type="character" w:customStyle="1" w:styleId="GrassettoGAL">
    <w:name w:val="Grassetto GAL"/>
    <w:uiPriority w:val="1"/>
    <w:qFormat/>
    <w:rsid w:val="0063618F"/>
    <w:rPr>
      <w:rFonts w:ascii="Lato Medium" w:hAnsi="Lato Medium"/>
      <w:b w:val="0"/>
      <w:color w:val="B75C9E"/>
    </w:rPr>
  </w:style>
  <w:style w:type="paragraph" w:customStyle="1" w:styleId="Titolo2GAL">
    <w:name w:val="Titolo 2 GAL"/>
    <w:basedOn w:val="Titolo2"/>
    <w:next w:val="Normale"/>
    <w:qFormat/>
    <w:rsid w:val="0063618F"/>
    <w:pPr>
      <w:keepLines/>
      <w:spacing w:before="360" w:after="0" w:line="259" w:lineRule="auto"/>
    </w:pPr>
    <w:rPr>
      <w:rFonts w:ascii="Lato Light" w:hAnsi="Lato Light"/>
      <w:b w:val="0"/>
      <w:bCs w:val="0"/>
      <w:i w:val="0"/>
      <w:iCs w:val="0"/>
      <w:color w:val="B75C9E"/>
      <w:sz w:val="42"/>
      <w:szCs w:val="3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361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18F"/>
  </w:style>
  <w:style w:type="character" w:customStyle="1" w:styleId="Titolo1Carattere">
    <w:name w:val="Titolo 1 Carattere"/>
    <w:link w:val="Titolo1"/>
    <w:uiPriority w:val="9"/>
    <w:rsid w:val="006361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63618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Pidipagina">
    <w:name w:val="footer"/>
    <w:basedOn w:val="Normale"/>
    <w:link w:val="PidipaginaCarattere"/>
    <w:uiPriority w:val="99"/>
    <w:unhideWhenUsed/>
    <w:rsid w:val="006361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3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7" Type="http://schemas.openxmlformats.org/officeDocument/2006/relationships/image" Target="media/image1.png"/><Relationship Id="rId71" Type="http://schemas.openxmlformats.org/officeDocument/2006/relationships/image" Target="media/image63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footnotes" Target="footnotes.xml"/><Relationship Id="rId61" Type="http://schemas.openxmlformats.org/officeDocument/2006/relationships/image" Target="media/image53.jpeg"/><Relationship Id="rId82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header" Target="header1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18159</Words>
  <Characters>103510</Characters>
  <Application>Microsoft Office Word</Application>
  <DocSecurity>0</DocSecurity>
  <Lines>862</Lines>
  <Paragraphs>242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MISURA 19 Sostegno allo sviluppo locale LEADER-CLLD</vt:lpstr>
      <vt:lpstr>    CHECK LIST AGEA DOMANDA DI PAGAMENTO</vt:lpstr>
      <vt:lpstr>    CHECK LIST AUTOVALUTAZIONE PER LE PROCEDURE DI GARA PER APPALTI PUBBLICI DI LAVO</vt:lpstr>
    </vt:vector>
  </TitlesOfParts>
  <Company/>
  <LinksUpToDate>false</LinksUpToDate>
  <CharactersWithSpaces>121427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Sulis</dc:creator>
  <cp:lastModifiedBy>Marianna</cp:lastModifiedBy>
  <cp:revision>3</cp:revision>
  <dcterms:created xsi:type="dcterms:W3CDTF">2020-03-24T15:21:00Z</dcterms:created>
  <dcterms:modified xsi:type="dcterms:W3CDTF">2020-03-24T15:21:00Z</dcterms:modified>
</cp:coreProperties>
</file>