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F503E" w:rsidRDefault="002F503E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CF21E0" w:rsidRPr="0063618F" w:rsidRDefault="007C3BCC" w:rsidP="00CF21E0">
      <w:pPr>
        <w:pStyle w:val="TitoloGrandePaola"/>
        <w:rPr>
          <w:color w:val="B75C9E"/>
          <w:sz w:val="72"/>
          <w:szCs w:val="28"/>
        </w:rPr>
      </w:pPr>
      <w:bookmarkStart w:id="0" w:name="page2"/>
      <w:bookmarkStart w:id="1" w:name="_Hlk17733370"/>
      <w:bookmarkEnd w:id="0"/>
      <w:r>
        <w:rPr>
          <w:noProof/>
          <w:lang w:eastAsia="it-IT"/>
        </w:rPr>
        <w:drawing>
          <wp:anchor distT="0" distB="0" distL="0" distR="0" simplePos="0" relativeHeight="251675136" behindDoc="0" locked="0" layoutInCell="1" allowOverlap="1">
            <wp:simplePos x="0" y="0"/>
            <wp:positionH relativeFrom="page">
              <wp:posOffset>546100</wp:posOffset>
            </wp:positionH>
            <wp:positionV relativeFrom="paragraph">
              <wp:posOffset>6350</wp:posOffset>
            </wp:positionV>
            <wp:extent cx="1173480" cy="1173480"/>
            <wp:effectExtent l="0" t="0" r="0" b="0"/>
            <wp:wrapSquare wrapText="bothSides"/>
            <wp:docPr id="4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9868" t="9868" r="9868" b="9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21E0" w:rsidRPr="00DB7841">
        <w:rPr>
          <w:rFonts w:ascii="Oswald Regular" w:eastAsia="Arial" w:hAnsi="Oswald Regular" w:cs="Arial"/>
          <w:color w:val="auto"/>
          <w:sz w:val="56"/>
          <w:szCs w:val="96"/>
          <w:lang w:eastAsia="it-IT"/>
        </w:rPr>
        <w:t>GAL BMG</w:t>
      </w:r>
      <w:r w:rsidR="00CF21E0">
        <w:rPr>
          <w:rFonts w:ascii="Oswald Regular" w:eastAsia="Arial" w:hAnsi="Oswald Regular" w:cs="Arial"/>
          <w:color w:val="B75C9E"/>
          <w:sz w:val="40"/>
          <w:szCs w:val="48"/>
        </w:rPr>
        <w:br/>
      </w:r>
      <w:r w:rsidR="00CF21E0" w:rsidRPr="001A5823">
        <w:rPr>
          <w:rFonts w:ascii="Oswald Regular" w:eastAsia="Arial" w:hAnsi="Oswald Regular" w:cs="Arial"/>
          <w:color w:val="B75C9E"/>
          <w:sz w:val="28"/>
          <w:szCs w:val="36"/>
        </w:rPr>
        <w:t>BARBAGIA_MANDROLISAI_GENNARGENTU</w:t>
      </w:r>
    </w:p>
    <w:p w:rsidR="00CF21E0" w:rsidRDefault="00CF21E0" w:rsidP="00CF21E0"/>
    <w:p w:rsidR="00CF21E0" w:rsidRDefault="00CF21E0" w:rsidP="00CF21E0"/>
    <w:p w:rsidR="00CF21E0" w:rsidRPr="00B566D8" w:rsidRDefault="00CF21E0" w:rsidP="00CF21E0">
      <w:pPr>
        <w:pStyle w:val="TitoloGrandePaola"/>
        <w:rPr>
          <w:color w:val="B75C9E"/>
          <w:sz w:val="72"/>
          <w:szCs w:val="28"/>
        </w:rPr>
      </w:pPr>
      <w:r w:rsidRPr="0063618F">
        <w:rPr>
          <w:color w:val="B75C9E"/>
          <w:sz w:val="72"/>
          <w:szCs w:val="28"/>
        </w:rPr>
        <w:t>PROGRAMMA</w:t>
      </w:r>
      <w:r w:rsidRPr="00B566D8">
        <w:rPr>
          <w:color w:val="B75C9E"/>
          <w:sz w:val="72"/>
          <w:szCs w:val="28"/>
        </w:rPr>
        <w:t xml:space="preserve"> DI</w:t>
      </w:r>
      <w:r>
        <w:rPr>
          <w:color w:val="B75C9E"/>
          <w:sz w:val="72"/>
          <w:szCs w:val="28"/>
        </w:rPr>
        <w:t xml:space="preserve"> </w:t>
      </w:r>
      <w:r w:rsidRPr="00B566D8">
        <w:rPr>
          <w:color w:val="B75C9E"/>
          <w:sz w:val="72"/>
          <w:szCs w:val="28"/>
        </w:rPr>
        <w:t>SVILUPPO RURALE SARDEGNA 2014-2020</w:t>
      </w:r>
    </w:p>
    <w:p w:rsidR="00CF21E0" w:rsidRPr="00B566D8" w:rsidRDefault="00CF21E0" w:rsidP="00CF21E0">
      <w:pPr>
        <w:pStyle w:val="Titolo1GAL"/>
        <w:spacing w:before="240"/>
        <w:rPr>
          <w:sz w:val="44"/>
          <w:szCs w:val="28"/>
        </w:rPr>
      </w:pPr>
      <w:r w:rsidRPr="00B566D8">
        <w:rPr>
          <w:sz w:val="44"/>
          <w:szCs w:val="28"/>
        </w:rPr>
        <w:t>MISURA 19 Sostegno allo sviluppo locale LEADER-CLLD</w:t>
      </w:r>
    </w:p>
    <w:p w:rsidR="00CF21E0" w:rsidRPr="0063618F" w:rsidRDefault="00CF21E0" w:rsidP="00CF21E0">
      <w:pPr>
        <w:autoSpaceDE w:val="0"/>
        <w:spacing w:before="120" w:after="120" w:line="276" w:lineRule="auto"/>
        <w:rPr>
          <w:rFonts w:ascii="Lato Light" w:eastAsia="Times New Roman" w:hAnsi="Lato Light" w:cs="Times New Roman"/>
          <w:color w:val="7F7F7F"/>
          <w:sz w:val="26"/>
          <w:szCs w:val="26"/>
        </w:rPr>
      </w:pPr>
      <w:r w:rsidRPr="00B566D8">
        <w:rPr>
          <w:rStyle w:val="GrassettoGAL"/>
          <w:iCs/>
          <w:sz w:val="26"/>
          <w:szCs w:val="26"/>
        </w:rPr>
        <w:t xml:space="preserve">SOTTOMISURA 19.2 </w:t>
      </w:r>
      <w:r w:rsidRPr="0063618F">
        <w:rPr>
          <w:rFonts w:ascii="Lato Light" w:eastAsia="Times New Roman" w:hAnsi="Lato Light" w:cs="Times New Roman"/>
          <w:color w:val="7F7F7F"/>
          <w:sz w:val="26"/>
          <w:szCs w:val="26"/>
        </w:rPr>
        <w:t>Sostegno all'esecuzione degli interventi nell'ambito della strategia di sviluppo locale di tipo partecipativo</w:t>
      </w:r>
    </w:p>
    <w:p w:rsidR="00CF21E0" w:rsidRPr="0063618F" w:rsidRDefault="00CF21E0" w:rsidP="00CF21E0">
      <w:pPr>
        <w:autoSpaceDE w:val="0"/>
        <w:spacing w:before="120" w:after="120" w:line="276" w:lineRule="auto"/>
        <w:rPr>
          <w:rFonts w:ascii="Lato Light" w:eastAsia="Times New Roman" w:hAnsi="Lato Light" w:cs="Times New Roman"/>
          <w:color w:val="7F7F7F"/>
          <w:sz w:val="26"/>
          <w:szCs w:val="26"/>
        </w:rPr>
      </w:pPr>
      <w:r w:rsidRPr="00B566D8">
        <w:rPr>
          <w:rStyle w:val="GrassettoGAL"/>
          <w:iCs/>
          <w:sz w:val="26"/>
          <w:szCs w:val="26"/>
        </w:rPr>
        <w:t xml:space="preserve">INTERVENTO 19.2.1.7.5.1.2 </w:t>
      </w:r>
      <w:r w:rsidRPr="0063618F">
        <w:rPr>
          <w:rFonts w:ascii="Lato Light" w:eastAsia="Times New Roman" w:hAnsi="Lato Light" w:cs="Times New Roman"/>
          <w:color w:val="7F7F7F"/>
          <w:sz w:val="26"/>
          <w:szCs w:val="26"/>
        </w:rPr>
        <w:t>“Integrazione e potenziamento della rete degli itinerari turistici tematici del GAL Nuorese Baronia”</w:t>
      </w:r>
    </w:p>
    <w:p w:rsidR="00CF21E0" w:rsidRPr="0063618F" w:rsidRDefault="00CF21E0" w:rsidP="00CF21E0">
      <w:pPr>
        <w:autoSpaceDE w:val="0"/>
        <w:spacing w:before="120" w:after="120" w:line="276" w:lineRule="auto"/>
        <w:rPr>
          <w:rFonts w:ascii="Lato Light" w:eastAsia="Times New Roman" w:hAnsi="Lato Light" w:cs="Times New Roman"/>
          <w:color w:val="7F7F7F"/>
          <w:sz w:val="28"/>
        </w:rPr>
      </w:pPr>
      <w:r w:rsidRPr="0063618F">
        <w:rPr>
          <w:rFonts w:ascii="Lato Light" w:eastAsia="Times New Roman" w:hAnsi="Lato Light" w:cs="Times New Roman"/>
          <w:color w:val="7F7F7F"/>
          <w:sz w:val="28"/>
        </w:rPr>
        <w:t>Codice Univoco Bando 23882</w:t>
      </w:r>
      <w:bookmarkStart w:id="2" w:name="_Hlk17733344"/>
      <w:bookmarkEnd w:id="1"/>
    </w:p>
    <w:p w:rsidR="00CF21E0" w:rsidRPr="00DB7841" w:rsidRDefault="00CF21E0" w:rsidP="00CF21E0">
      <w:pPr>
        <w:autoSpaceDE w:val="0"/>
        <w:spacing w:before="120" w:after="120" w:line="276" w:lineRule="auto"/>
      </w:pPr>
    </w:p>
    <w:p w:rsidR="00CF21E0" w:rsidRPr="0063618F" w:rsidRDefault="00CF21E0" w:rsidP="00CF21E0">
      <w:pPr>
        <w:pStyle w:val="Titolo2GAL"/>
        <w:shd w:val="clear" w:color="auto" w:fill="B75C9E"/>
        <w:spacing w:before="480"/>
        <w:rPr>
          <w:rFonts w:ascii="Lato Heavy" w:hAnsi="Lato Heavy"/>
          <w:color w:val="FFFFFF"/>
          <w:sz w:val="56"/>
          <w:szCs w:val="24"/>
        </w:rPr>
      </w:pPr>
      <w:r w:rsidRPr="0063618F">
        <w:rPr>
          <w:rFonts w:ascii="Lato Heavy" w:hAnsi="Lato Heavy"/>
          <w:color w:val="FFFFFF"/>
          <w:sz w:val="56"/>
          <w:szCs w:val="24"/>
        </w:rPr>
        <w:t xml:space="preserve"> CHECK LIST AGEA DOMANDA DI </w:t>
      </w:r>
      <w:r w:rsidR="00C72B78">
        <w:rPr>
          <w:rFonts w:ascii="Lato Heavy" w:hAnsi="Lato Heavy"/>
          <w:color w:val="FFFFFF"/>
          <w:sz w:val="56"/>
          <w:szCs w:val="24"/>
        </w:rPr>
        <w:t>SOSTEGNO</w:t>
      </w:r>
    </w:p>
    <w:bookmarkEnd w:id="2"/>
    <w:p w:rsidR="00CF21E0" w:rsidRDefault="00CF21E0" w:rsidP="00CF21E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C72B78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br w:type="page"/>
      </w:r>
      <w:r w:rsidR="002F503E"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2F503E">
      <w:pPr>
        <w:spacing w:line="30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83" w:lineRule="auto"/>
        <w:ind w:right="1320"/>
        <w:jc w:val="center"/>
        <w:rPr>
          <w:rFonts w:ascii="Arial" w:eastAsia="Arial" w:hAnsi="Arial"/>
          <w:b/>
          <w:color w:val="345A8A"/>
          <w:sz w:val="32"/>
        </w:rPr>
      </w:pPr>
      <w:r>
        <w:rPr>
          <w:rFonts w:ascii="Arial" w:eastAsia="Arial" w:hAnsi="Arial"/>
          <w:b/>
          <w:color w:val="345A8A"/>
          <w:sz w:val="32"/>
          <w:u w:val="single"/>
        </w:rPr>
        <w:t xml:space="preserve">CHECK LIST AUTOVALUTAZIONE </w:t>
      </w:r>
      <w:r>
        <w:rPr>
          <w:rFonts w:ascii="Arial" w:eastAsia="Arial" w:hAnsi="Arial"/>
          <w:b/>
          <w:color w:val="345A8A"/>
          <w:sz w:val="32"/>
        </w:rPr>
        <w:t>PER LE PROCEDURE DI GARA PER APPALTI PUBBLICI DI LAVORI, SERVIZI E FORNITURE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345A8A"/>
          <w:sz w:val="32"/>
        </w:rPr>
        <w:drawing>
          <wp:anchor distT="0" distB="0" distL="114300" distR="114300" simplePos="0" relativeHeight="251640320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-247650</wp:posOffset>
            </wp:positionV>
            <wp:extent cx="9142730" cy="5550535"/>
            <wp:effectExtent l="19050" t="0" r="127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2730" cy="5550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28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02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D.Lgs. 18 aprile 2016, n. 50 e s.m.i. - Codice dei contratti pubblici (attuazione delle direttive 2014/23/UE, 2014/24/UE e 2014/25/UE)</w:t>
      </w:r>
    </w:p>
    <w:p w:rsidR="002F503E" w:rsidRDefault="002F503E">
      <w:pPr>
        <w:spacing w:line="186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60"/>
        <w:rPr>
          <w:rFonts w:ascii="Arial" w:eastAsia="Arial" w:hAnsi="Arial"/>
          <w:b/>
          <w:color w:val="FFFFFF"/>
          <w:sz w:val="24"/>
        </w:rPr>
      </w:pPr>
      <w:r>
        <w:rPr>
          <w:rFonts w:ascii="Arial" w:eastAsia="Arial" w:hAnsi="Arial"/>
          <w:b/>
          <w:color w:val="FFFFFF"/>
          <w:sz w:val="24"/>
        </w:rPr>
        <w:t>A - DATI IDENTIFICATIVI</w:t>
      </w:r>
    </w:p>
    <w:p w:rsidR="002F503E" w:rsidRDefault="002F503E">
      <w:pPr>
        <w:spacing w:line="13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4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Bando domanda di</w:t>
      </w:r>
    </w:p>
    <w:p w:rsidR="002F503E" w:rsidRDefault="002F503E">
      <w:pPr>
        <w:spacing w:line="0" w:lineRule="atLeast"/>
        <w:ind w:left="24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sostegno</w:t>
      </w:r>
    </w:p>
    <w:p w:rsidR="002F503E" w:rsidRDefault="002F503E">
      <w:pPr>
        <w:spacing w:line="203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4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Misura/Sottomisura</w:t>
      </w:r>
    </w:p>
    <w:p w:rsidR="002F503E" w:rsidRDefault="002F503E">
      <w:pPr>
        <w:spacing w:line="249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060"/>
        <w:gridCol w:w="11300"/>
      </w:tblGrid>
      <w:tr w:rsidR="002F503E">
        <w:trPr>
          <w:trHeight w:val="245"/>
        </w:trPr>
        <w:tc>
          <w:tcPr>
            <w:tcW w:w="3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Beneficiario/Stazione appaltante</w:t>
            </w:r>
          </w:p>
        </w:tc>
        <w:tc>
          <w:tcPr>
            <w:tcW w:w="113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Via _________________________, n. _________, ____________________ (città)</w:t>
            </w:r>
          </w:p>
        </w:tc>
      </w:tr>
      <w:tr w:rsidR="002F503E">
        <w:trPr>
          <w:trHeight w:val="103"/>
        </w:trPr>
        <w:tc>
          <w:tcPr>
            <w:tcW w:w="3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36"/>
        </w:trPr>
        <w:tc>
          <w:tcPr>
            <w:tcW w:w="3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Partita IVA/Codice fiscale</w:t>
            </w:r>
          </w:p>
        </w:tc>
        <w:tc>
          <w:tcPr>
            <w:tcW w:w="113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46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CUUA</w:t>
            </w:r>
          </w:p>
        </w:tc>
      </w:tr>
      <w:tr w:rsidR="002F503E">
        <w:trPr>
          <w:trHeight w:val="100"/>
        </w:trPr>
        <w:tc>
          <w:tcPr>
            <w:tcW w:w="3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36"/>
        </w:trPr>
        <w:tc>
          <w:tcPr>
            <w:tcW w:w="3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Referente beneficiario</w:t>
            </w:r>
          </w:p>
        </w:tc>
        <w:tc>
          <w:tcPr>
            <w:tcW w:w="113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2F503E" w:rsidRDefault="002F503E">
      <w:pPr>
        <w:spacing w:line="20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4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Domanda di sostegno</w:t>
      </w:r>
    </w:p>
    <w:p w:rsidR="002F503E" w:rsidRDefault="002F503E">
      <w:pPr>
        <w:spacing w:line="261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3300"/>
          <w:tab w:val="left" w:pos="7680"/>
        </w:tabs>
        <w:spacing w:line="0" w:lineRule="atLeast"/>
        <w:ind w:left="240"/>
        <w:rPr>
          <w:rFonts w:ascii="Arial" w:eastAsia="Arial" w:hAnsi="Arial"/>
          <w:b/>
          <w:sz w:val="17"/>
        </w:rPr>
      </w:pPr>
      <w:r>
        <w:rPr>
          <w:rFonts w:ascii="Arial" w:eastAsia="Arial" w:hAnsi="Arial"/>
          <w:b/>
          <w:sz w:val="18"/>
        </w:rPr>
        <w:t>Domanda di sostegno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n.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7"/>
        </w:rPr>
        <w:t>data</w:t>
      </w:r>
    </w:p>
    <w:p w:rsidR="002F503E" w:rsidRDefault="002F503E">
      <w:pPr>
        <w:spacing w:line="25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4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Titolo del progetto</w:t>
      </w:r>
    </w:p>
    <w:p w:rsidR="002F503E" w:rsidRDefault="002F503E">
      <w:pPr>
        <w:spacing w:line="249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4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Codice CUP</w:t>
      </w:r>
    </w:p>
    <w:p w:rsidR="002F503E" w:rsidRDefault="002F503E">
      <w:pPr>
        <w:spacing w:line="273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3300"/>
        </w:tabs>
        <w:spacing w:line="0" w:lineRule="atLeast"/>
        <w:ind w:left="240"/>
        <w:rPr>
          <w:rFonts w:ascii="Arial" w:eastAsia="Arial" w:hAnsi="Arial"/>
          <w:b/>
          <w:sz w:val="17"/>
        </w:rPr>
      </w:pPr>
      <w:r>
        <w:rPr>
          <w:rFonts w:ascii="Arial" w:eastAsia="Arial" w:hAnsi="Arial"/>
          <w:b/>
          <w:sz w:val="35"/>
          <w:vertAlign w:val="superscript"/>
        </w:rPr>
        <w:t>Localizzazione investimento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7"/>
        </w:rPr>
        <w:t>Comune di ______________________</w:t>
      </w:r>
    </w:p>
    <w:p w:rsidR="002F503E" w:rsidRDefault="002F503E">
      <w:pPr>
        <w:spacing w:line="13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4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Atto di Concessione sostegno</w:t>
      </w:r>
    </w:p>
    <w:p w:rsidR="002F503E" w:rsidRDefault="002F503E">
      <w:pPr>
        <w:spacing w:line="261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260"/>
        <w:gridCol w:w="3400"/>
        <w:gridCol w:w="2680"/>
        <w:gridCol w:w="2600"/>
        <w:gridCol w:w="2420"/>
      </w:tblGrid>
      <w:tr w:rsidR="002F503E">
        <w:trPr>
          <w:trHeight w:val="245"/>
        </w:trPr>
        <w:tc>
          <w:tcPr>
            <w:tcW w:w="3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Concessione sostegno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n.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data</w:t>
            </w:r>
          </w:p>
        </w:tc>
        <w:tc>
          <w:tcPr>
            <w:tcW w:w="2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0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Prot. n.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2F503E">
        <w:trPr>
          <w:trHeight w:val="136"/>
        </w:trPr>
        <w:tc>
          <w:tcPr>
            <w:tcW w:w="3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2F503E">
        <w:trPr>
          <w:trHeight w:val="338"/>
        </w:trPr>
        <w:tc>
          <w:tcPr>
            <w:tcW w:w="3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Spesa ammessa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€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Sostegno concesso</w:t>
            </w:r>
          </w:p>
        </w:tc>
        <w:tc>
          <w:tcPr>
            <w:tcW w:w="2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0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€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100"/>
        </w:trPr>
        <w:tc>
          <w:tcPr>
            <w:tcW w:w="3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36"/>
        </w:trPr>
        <w:tc>
          <w:tcPr>
            <w:tcW w:w="3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Tipologia investimento richiesto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Lavori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Forniture</w:t>
            </w:r>
          </w:p>
        </w:tc>
        <w:tc>
          <w:tcPr>
            <w:tcW w:w="2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0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Servizi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100"/>
        </w:trPr>
        <w:tc>
          <w:tcPr>
            <w:tcW w:w="3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2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36"/>
        </w:trPr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Interventi spesa previsti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N° affidamenti previsti</w:t>
            </w:r>
          </w:p>
        </w:tc>
        <w:tc>
          <w:tcPr>
            <w:tcW w:w="528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Verifica rispetto divieto frazionamento artificioso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103"/>
        </w:trPr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1161"/>
        </w:trPr>
        <w:tc>
          <w:tcPr>
            <w:tcW w:w="3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right="1200"/>
              <w:jc w:val="righ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1</w:t>
            </w:r>
          </w:p>
        </w:tc>
      </w:tr>
    </w:tbl>
    <w:p w:rsidR="002F503E" w:rsidRDefault="002F503E">
      <w:pPr>
        <w:rPr>
          <w:rFonts w:ascii="Arial" w:eastAsia="Arial" w:hAnsi="Arial"/>
          <w:b/>
          <w:sz w:val="24"/>
        </w:rPr>
        <w:sectPr w:rsidR="002F503E">
          <w:pgSz w:w="16840" w:h="12106" w:orient="landscape"/>
          <w:pgMar w:top="680" w:right="1058" w:bottom="0" w:left="1420" w:header="0" w:footer="0" w:gutter="0"/>
          <w:cols w:space="0" w:equalWidth="0">
            <w:col w:w="14360"/>
          </w:cols>
          <w:docGrid w:linePitch="360"/>
        </w:sectPr>
      </w:pPr>
    </w:p>
    <w:p w:rsidR="002F503E" w:rsidRDefault="002F503E">
      <w:pPr>
        <w:spacing w:line="22" w:lineRule="exact"/>
        <w:rPr>
          <w:rFonts w:ascii="Times New Roman" w:eastAsia="Times New Roman" w:hAnsi="Times New Roman"/>
        </w:rPr>
      </w:pPr>
      <w:bookmarkStart w:id="3" w:name="page3"/>
      <w:bookmarkEnd w:id="3"/>
    </w:p>
    <w:p w:rsidR="002F503E" w:rsidRDefault="002F503E">
      <w:pPr>
        <w:spacing w:line="0" w:lineRule="atLeast"/>
        <w:ind w:left="8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AGEA – Sviluppo Rurale – checklist per la verifica delle procedure di appalto – vers. 2.3 del 30_01_2018</w:t>
      </w:r>
    </w:p>
    <w:p w:rsidR="002F503E" w:rsidRDefault="002F503E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</w:rPr>
        <w:pict>
          <v:rect id="_x0000_s1030" style="position:absolute;margin-left:43.15pt;margin-top:33.2pt;width:717.85pt;height:19.8pt;z-index:-251675136" o:userdrawn="t" fillcolor="#036" strokecolor="none"/>
        </w:pict>
      </w:r>
      <w:r>
        <w:rPr>
          <w:rFonts w:ascii="Arial" w:eastAsia="Arial" w:hAnsi="Arial"/>
          <w:b/>
        </w:rPr>
        <w:pict>
          <v:line id="_x0000_s1031" style="position:absolute;z-index:-251674112" from="42.55pt,32.95pt" to="761.45pt,32.95pt" o:userdrawn="t" strokeweight=".48pt"/>
        </w:pict>
      </w:r>
      <w:r>
        <w:rPr>
          <w:rFonts w:ascii="Arial" w:eastAsia="Arial" w:hAnsi="Arial"/>
          <w:b/>
        </w:rPr>
        <w:pict>
          <v:line id="_x0000_s1032" style="position:absolute;z-index:-251673088" from="42.8pt,32.7pt" to="42.8pt,53.45pt" o:userdrawn="t" strokeweight=".48pt"/>
        </w:pict>
      </w:r>
      <w:r>
        <w:rPr>
          <w:rFonts w:ascii="Arial" w:eastAsia="Arial" w:hAnsi="Arial"/>
          <w:b/>
        </w:rPr>
        <w:pict>
          <v:line id="_x0000_s1033" style="position:absolute;z-index:-251672064" from="761.2pt,32.7pt" to="761.2pt,53.45pt" o:userdrawn="t" strokeweight=".16931mm"/>
        </w:pic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7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920"/>
        <w:rPr>
          <w:rFonts w:ascii="Arial" w:eastAsia="Arial" w:hAnsi="Arial"/>
          <w:b/>
          <w:color w:val="FFFFFF"/>
          <w:sz w:val="24"/>
        </w:rPr>
      </w:pPr>
      <w:r>
        <w:rPr>
          <w:rFonts w:ascii="Arial" w:eastAsia="Arial" w:hAnsi="Arial"/>
          <w:b/>
          <w:color w:val="FFFFFF"/>
          <w:sz w:val="24"/>
        </w:rPr>
        <w:t>B – Checklist – PROCEDURA DI VERIFICA DELLA FASE DI PROGRAMMAZIONE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FFFFFF"/>
          <w:sz w:val="24"/>
        </w:rPr>
        <w:drawing>
          <wp:anchor distT="0" distB="0" distL="114300" distR="114300" simplePos="0" relativeHeight="251645440" behindDoc="1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58420</wp:posOffset>
            </wp:positionV>
            <wp:extent cx="9975850" cy="5497195"/>
            <wp:effectExtent l="19050" t="0" r="635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0" cy="549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330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080"/>
        <w:gridCol w:w="5460"/>
        <w:gridCol w:w="2400"/>
        <w:gridCol w:w="1760"/>
      </w:tblGrid>
      <w:tr w:rsidR="002F503E">
        <w:trPr>
          <w:trHeight w:val="230"/>
        </w:trPr>
        <w:tc>
          <w:tcPr>
            <w:tcW w:w="60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8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24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   NO  NP  Doc.</w:t>
            </w:r>
          </w:p>
        </w:tc>
        <w:tc>
          <w:tcPr>
            <w:tcW w:w="17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4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NOTE</w:t>
            </w:r>
          </w:p>
        </w:tc>
      </w:tr>
      <w:tr w:rsidR="002F503E">
        <w:trPr>
          <w:trHeight w:val="271"/>
        </w:trPr>
        <w:tc>
          <w:tcPr>
            <w:tcW w:w="608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54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8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24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5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313"/>
        </w:trPr>
        <w:tc>
          <w:tcPr>
            <w:tcW w:w="6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2F503E" w:rsidRDefault="002F503E">
      <w:pPr>
        <w:rPr>
          <w:rFonts w:ascii="Times New Roman" w:eastAsia="Times New Roman" w:hAnsi="Times New Roman"/>
          <w:sz w:val="24"/>
        </w:rPr>
        <w:sectPr w:rsidR="002F503E">
          <w:pgSz w:w="16840" w:h="11928" w:orient="landscape"/>
          <w:pgMar w:top="680" w:right="598" w:bottom="0" w:left="560" w:header="0" w:footer="0" w:gutter="0"/>
          <w:cols w:space="0" w:equalWidth="0">
            <w:col w:w="15680"/>
          </w:cols>
          <w:docGrid w:linePitch="360"/>
        </w:sectPr>
      </w:pPr>
    </w:p>
    <w:p w:rsidR="002F503E" w:rsidRDefault="002F503E">
      <w:pPr>
        <w:spacing w:line="9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 – PRESUPPOSTI (da richiamare nel decreto o determina di indizione)</w:t>
      </w:r>
    </w:p>
    <w:p w:rsidR="002F503E" w:rsidRDefault="002F503E">
      <w:pPr>
        <w:spacing w:line="126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(non si applica ai soggetti aggregatori e centrali di committenza)</w:t>
      </w:r>
    </w:p>
    <w:p w:rsidR="002F503E" w:rsidRDefault="002F503E">
      <w:pPr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(non si applica ai soggetti di cui all’art. 1, comma 2, lettere a), b), d), e) – art. 1 c. 3)</w:t>
      </w:r>
    </w:p>
    <w:p w:rsidR="002F503E" w:rsidRDefault="002F503E">
      <w:pPr>
        <w:spacing w:line="38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sz w:val="18"/>
        </w:rPr>
        <w:br w:type="column"/>
      </w: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Art. 21 (in attesa</w:t>
      </w:r>
    </w:p>
    <w:p w:rsidR="002F503E" w:rsidRDefault="002F503E">
      <w:pPr>
        <w:spacing w:line="0" w:lineRule="atLeast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Decreto MIT - art.</w:t>
      </w:r>
    </w:p>
    <w:p w:rsidR="002F503E" w:rsidRDefault="002F503E">
      <w:pPr>
        <w:spacing w:line="1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216 c. 3)</w:t>
      </w:r>
    </w:p>
    <w:p w:rsidR="002F503E" w:rsidRDefault="002F503E">
      <w:pPr>
        <w:spacing w:line="0" w:lineRule="atLeast"/>
        <w:rPr>
          <w:rFonts w:ascii="Arial" w:eastAsia="Arial" w:hAnsi="Arial"/>
          <w:b/>
        </w:rPr>
        <w:sectPr w:rsidR="002F503E">
          <w:type w:val="continuous"/>
          <w:pgSz w:w="16840" w:h="11928" w:orient="landscape"/>
          <w:pgMar w:top="680" w:right="598" w:bottom="0" w:left="560" w:header="0" w:footer="0" w:gutter="0"/>
          <w:cols w:num="2" w:space="0" w:equalWidth="0">
            <w:col w:w="9200" w:space="720"/>
            <w:col w:w="5760"/>
          </w:cols>
          <w:docGrid w:linePitch="360"/>
        </w:sectPr>
      </w:pPr>
    </w:p>
    <w:p w:rsidR="002F503E" w:rsidRDefault="002F503E">
      <w:pPr>
        <w:spacing w:line="272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Appalto lavori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279" w:lineRule="auto"/>
        <w:ind w:left="860" w:right="5180" w:hanging="79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A1.1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Presenza dell’opera pubblica nel programma triennale dei lavori pubblici nonché nei relativi art. 21 aggiornamenti annuali il cui valore stimato sia pari o superiore a 100.000 euro</w:t>
      </w:r>
    </w:p>
    <w:p w:rsidR="002F503E" w:rsidRDefault="002F503E">
      <w:pPr>
        <w:spacing w:line="1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A1.2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è stato attribuito il CUP</w:t>
      </w:r>
    </w:p>
    <w:p w:rsidR="002F503E" w:rsidRDefault="002F503E">
      <w:pPr>
        <w:spacing w:line="135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A1.3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sono indicati i mezzi finanziari stanziati o disponibili</w:t>
      </w:r>
    </w:p>
    <w:p w:rsidR="002F503E" w:rsidRDefault="002F503E">
      <w:pPr>
        <w:spacing w:line="135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283" w:lineRule="auto"/>
        <w:ind w:left="860" w:right="5900" w:hanging="79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A1.4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per i lavori di importo pari o superiore a 1.000.000 euro, è stato approvato il progetto di fattibilità tecnica ed economica</w:t>
      </w:r>
    </w:p>
    <w:p w:rsidR="002F503E" w:rsidRDefault="002F503E">
      <w:pPr>
        <w:spacing w:line="53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A1.5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ove previsto (art. 23 c. 5), è stato approvato il documento di fattibilità delle alternative progettuali</w:t>
      </w:r>
    </w:p>
    <w:p w:rsidR="002F503E" w:rsidRDefault="002F503E">
      <w:pPr>
        <w:spacing w:line="135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A1.6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trattasi di lavoro complesso</w:t>
      </w:r>
    </w:p>
    <w:p w:rsidR="002F503E" w:rsidRDefault="002F503E">
      <w:pPr>
        <w:spacing w:line="135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A1.7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trattasi di intervento suscettibile di essere realizzato attraverso contratti di concessione o PPP</w:t>
      </w:r>
    </w:p>
    <w:p w:rsidR="002F503E" w:rsidRDefault="002F503E">
      <w:pPr>
        <w:spacing w:line="189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Appalto servizi e forniture</w:t>
      </w:r>
    </w:p>
    <w:p w:rsidR="002F503E" w:rsidRDefault="002F503E">
      <w:pPr>
        <w:spacing w:line="203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280" w:lineRule="auto"/>
        <w:ind w:left="860" w:right="5900" w:hanging="79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A2.1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Presenza dell’acquisto nel programma biennale di forniture e servizi nonché nei relativi aggiornamenti annuali il cui valore stimato sia pari o superiore a 40.000 euro</w:t>
      </w:r>
    </w:p>
    <w:p w:rsidR="002F503E" w:rsidRDefault="002F503E">
      <w:pPr>
        <w:spacing w:line="56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A2.2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per gli acquisti di importo pari o superiore a 1.000.000 euro, è stato comunicato il relativo elenco al</w:t>
      </w:r>
    </w:p>
    <w:p w:rsidR="002F503E" w:rsidRDefault="002F503E">
      <w:pPr>
        <w:spacing w:line="0" w:lineRule="atLeast"/>
        <w:ind w:left="8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Tavolo tecnico dei soggetti aggregatori</w:t>
      </w:r>
    </w:p>
    <w:p w:rsidR="002F503E" w:rsidRDefault="002F503E">
      <w:pPr>
        <w:tabs>
          <w:tab w:val="left" w:pos="840"/>
        </w:tabs>
        <w:spacing w:line="218" w:lineRule="auto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  <w:sz w:val="40"/>
          <w:vertAlign w:val="superscript"/>
        </w:rPr>
        <w:t>A3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Pubblicità dei programmi e aggiornamenti</w:t>
      </w:r>
    </w:p>
    <w:p w:rsidR="002F503E" w:rsidRDefault="002F503E">
      <w:pPr>
        <w:spacing w:line="202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1"/>
        </w:numPr>
        <w:tabs>
          <w:tab w:val="left" w:pos="1580"/>
        </w:tabs>
        <w:spacing w:line="0" w:lineRule="atLeast"/>
        <w:ind w:left="1580" w:hanging="353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sono stati pubblicati sul profilo del committente</w:t>
      </w:r>
    </w:p>
    <w:p w:rsidR="002F503E" w:rsidRDefault="002F503E">
      <w:pPr>
        <w:spacing w:line="60" w:lineRule="exact"/>
        <w:rPr>
          <w:rFonts w:ascii="Arial" w:eastAsia="Arial" w:hAnsi="Arial"/>
          <w:b/>
        </w:rPr>
      </w:pPr>
    </w:p>
    <w:p w:rsidR="002F503E" w:rsidRDefault="002F503E">
      <w:pPr>
        <w:numPr>
          <w:ilvl w:val="0"/>
          <w:numId w:val="1"/>
        </w:numPr>
        <w:tabs>
          <w:tab w:val="left" w:pos="1580"/>
        </w:tabs>
        <w:spacing w:line="0" w:lineRule="atLeast"/>
        <w:ind w:left="1580" w:hanging="352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sono stati pubblicati sul sito del MIT</w:t>
      </w:r>
    </w:p>
    <w:p w:rsidR="002F503E" w:rsidRDefault="002F503E">
      <w:pPr>
        <w:spacing w:line="60" w:lineRule="exact"/>
        <w:rPr>
          <w:rFonts w:ascii="Times New Roman" w:eastAsia="Times New Roman" w:hAnsi="Times New Roman"/>
        </w:rPr>
      </w:pPr>
    </w:p>
    <w:tbl>
      <w:tblPr>
        <w:tblW w:w="0" w:type="auto"/>
        <w:tblInd w:w="12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40"/>
        <w:gridCol w:w="4240"/>
      </w:tblGrid>
      <w:tr w:rsidR="002F503E">
        <w:trPr>
          <w:trHeight w:val="271"/>
        </w:trPr>
        <w:tc>
          <w:tcPr>
            <w:tcW w:w="8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 sono stati pubblicati sul sito dell’Osservatorio</w:t>
            </w:r>
          </w:p>
        </w:tc>
        <w:tc>
          <w:tcPr>
            <w:tcW w:w="424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jc w:val="righ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2</w:t>
            </w:r>
          </w:p>
        </w:tc>
      </w:tr>
      <w:tr w:rsidR="002F503E">
        <w:trPr>
          <w:trHeight w:val="1097"/>
        </w:trPr>
        <w:tc>
          <w:tcPr>
            <w:tcW w:w="8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4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2F503E" w:rsidRDefault="002F503E">
      <w:pPr>
        <w:rPr>
          <w:rFonts w:ascii="Times New Roman" w:eastAsia="Times New Roman" w:hAnsi="Times New Roman"/>
          <w:sz w:val="24"/>
        </w:rPr>
        <w:sectPr w:rsidR="002F503E">
          <w:type w:val="continuous"/>
          <w:pgSz w:w="16840" w:h="11928" w:orient="landscape"/>
          <w:pgMar w:top="680" w:right="598" w:bottom="0" w:left="560" w:header="0" w:footer="0" w:gutter="0"/>
          <w:cols w:space="0" w:equalWidth="0">
            <w:col w:w="15680"/>
          </w:cols>
          <w:docGrid w:linePitch="360"/>
        </w:sectPr>
      </w:pPr>
    </w:p>
    <w:p w:rsidR="002F503E" w:rsidRDefault="002F503E">
      <w:pPr>
        <w:spacing w:line="194" w:lineRule="exact"/>
        <w:rPr>
          <w:rFonts w:ascii="Times New Roman" w:eastAsia="Times New Roman" w:hAnsi="Times New Roman"/>
        </w:rPr>
      </w:pPr>
      <w:bookmarkStart w:id="4" w:name="page4"/>
      <w:bookmarkEnd w:id="4"/>
    </w:p>
    <w:p w:rsidR="002F503E" w:rsidRDefault="002F503E">
      <w:pPr>
        <w:spacing w:line="0" w:lineRule="atLeast"/>
        <w:ind w:left="8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AGEA – Sviluppo Rurale – checklist per la verifica delle procedure di appalto – vers. 2.3 del 30_01_2018</w:t>
      </w:r>
    </w:p>
    <w:p w:rsidR="002F503E" w:rsidRDefault="002F503E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</w:rPr>
        <w:pict>
          <v:rect id="_x0000_s1035" style="position:absolute;margin-left:43.15pt;margin-top:33.2pt;width:717.85pt;height:19.8pt;z-index:-251670016" o:userdrawn="t" fillcolor="#036" strokecolor="none"/>
        </w:pict>
      </w:r>
      <w:r>
        <w:rPr>
          <w:rFonts w:ascii="Arial" w:eastAsia="Arial" w:hAnsi="Arial"/>
          <w:b/>
        </w:rPr>
        <w:pict>
          <v:line id="_x0000_s1036" style="position:absolute;z-index:-251668992" from="42.55pt,32.95pt" to="761.45pt,32.95pt" o:userdrawn="t" strokeweight=".48pt"/>
        </w:pict>
      </w:r>
      <w:r>
        <w:rPr>
          <w:rFonts w:ascii="Arial" w:eastAsia="Arial" w:hAnsi="Arial"/>
          <w:b/>
        </w:rPr>
        <w:pict>
          <v:line id="_x0000_s1037" style="position:absolute;z-index:-251667968" from="42.8pt,32.7pt" to="42.8pt,53.45pt" o:userdrawn="t" strokeweight=".48pt"/>
        </w:pict>
      </w:r>
      <w:r>
        <w:rPr>
          <w:rFonts w:ascii="Arial" w:eastAsia="Arial" w:hAnsi="Arial"/>
          <w:b/>
        </w:rPr>
        <w:pict>
          <v:line id="_x0000_s1038" style="position:absolute;z-index:-251666944" from="761.2pt,32.7pt" to="761.2pt,53.45pt" o:userdrawn="t" strokeweight=".16931mm"/>
        </w:pic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7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920"/>
        <w:rPr>
          <w:rFonts w:ascii="Arial" w:eastAsia="Arial" w:hAnsi="Arial"/>
          <w:b/>
          <w:color w:val="FFFFFF"/>
          <w:sz w:val="24"/>
        </w:rPr>
      </w:pPr>
      <w:r>
        <w:rPr>
          <w:rFonts w:ascii="Arial" w:eastAsia="Arial" w:hAnsi="Arial"/>
          <w:b/>
          <w:color w:val="FFFFFF"/>
          <w:sz w:val="24"/>
        </w:rPr>
        <w:t>C – Checklist – PROCEDURA DI VERIFICA DELLA FASE DI PROGETTAZIONE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FFFFFF"/>
          <w:sz w:val="24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58420</wp:posOffset>
            </wp:positionV>
            <wp:extent cx="9975850" cy="5035550"/>
            <wp:effectExtent l="19050" t="0" r="6350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0" cy="503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330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200"/>
        <w:gridCol w:w="3340"/>
        <w:gridCol w:w="2400"/>
        <w:gridCol w:w="1760"/>
      </w:tblGrid>
      <w:tr w:rsidR="002F503E">
        <w:trPr>
          <w:trHeight w:val="230"/>
        </w:trPr>
        <w:tc>
          <w:tcPr>
            <w:tcW w:w="8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3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7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24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   NO  NP  Doc.</w:t>
            </w:r>
          </w:p>
        </w:tc>
        <w:tc>
          <w:tcPr>
            <w:tcW w:w="17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4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NOTE</w:t>
            </w:r>
          </w:p>
        </w:tc>
      </w:tr>
      <w:tr w:rsidR="002F503E">
        <w:trPr>
          <w:trHeight w:val="271"/>
        </w:trPr>
        <w:tc>
          <w:tcPr>
            <w:tcW w:w="8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33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7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24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5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313"/>
        </w:trPr>
        <w:tc>
          <w:tcPr>
            <w:tcW w:w="8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71"/>
        </w:trPr>
        <w:tc>
          <w:tcPr>
            <w:tcW w:w="8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 – PRESUPPOSTI (da richiamare nel decreto o determina di indizione)</w:t>
            </w:r>
          </w:p>
        </w:tc>
        <w:tc>
          <w:tcPr>
            <w:tcW w:w="33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7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</w:t>
            </w:r>
          </w:p>
        </w:tc>
        <w:tc>
          <w:tcPr>
            <w:tcW w:w="24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2F503E" w:rsidRDefault="002F503E">
      <w:pPr>
        <w:spacing w:line="91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2"/>
        </w:numPr>
        <w:tabs>
          <w:tab w:val="left" w:pos="280"/>
        </w:tabs>
        <w:spacing w:line="0" w:lineRule="atLeast"/>
        <w:ind w:left="280" w:hanging="204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</w:rPr>
        <w:t>Progettazione interna</w:t>
      </w:r>
    </w:p>
    <w:p w:rsidR="002F503E" w:rsidRDefault="002F503E">
      <w:pPr>
        <w:spacing w:line="121" w:lineRule="exact"/>
        <w:rPr>
          <w:rFonts w:ascii="Arial" w:eastAsia="Arial" w:hAnsi="Arial"/>
          <w:b/>
          <w:sz w:val="22"/>
        </w:rPr>
      </w:pPr>
    </w:p>
    <w:p w:rsidR="002F503E" w:rsidRDefault="002F503E">
      <w:pPr>
        <w:numPr>
          <w:ilvl w:val="0"/>
          <w:numId w:val="2"/>
        </w:numPr>
        <w:tabs>
          <w:tab w:val="left" w:pos="280"/>
        </w:tabs>
        <w:spacing w:line="0" w:lineRule="atLeast"/>
        <w:ind w:left="280" w:hanging="204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</w:rPr>
        <w:t>Progettazione esterna</w:t>
      </w:r>
    </w:p>
    <w:p w:rsidR="002F503E" w:rsidRDefault="002F503E">
      <w:pPr>
        <w:spacing w:line="17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00"/>
        <w:gridCol w:w="9060"/>
        <w:gridCol w:w="1860"/>
        <w:gridCol w:w="440"/>
        <w:gridCol w:w="440"/>
        <w:gridCol w:w="420"/>
        <w:gridCol w:w="600"/>
        <w:gridCol w:w="2080"/>
      </w:tblGrid>
      <w:tr w:rsidR="002F503E">
        <w:trPr>
          <w:trHeight w:val="290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Appalto lavori</w:t>
            </w:r>
          </w:p>
        </w:tc>
        <w:tc>
          <w:tcPr>
            <w:tcW w:w="5840" w:type="dxa"/>
            <w:gridSpan w:val="6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157</w:t>
            </w:r>
          </w:p>
        </w:tc>
      </w:tr>
      <w:tr w:rsidR="002F503E">
        <w:trPr>
          <w:trHeight w:val="271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840" w:type="dxa"/>
            <w:gridSpan w:val="6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2F503E">
        <w:trPr>
          <w:trHeight w:val="290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40" w:type="dxa"/>
            <w:gridSpan w:val="6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n.1/2016</w:t>
            </w:r>
          </w:p>
        </w:tc>
      </w:tr>
      <w:tr w:rsidR="002F503E">
        <w:trPr>
          <w:trHeight w:val="42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263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A1.1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Trattasi di lavori di particolare rilevanza sotto il profilo architettonico, ambientale, paesaggistico,</w:t>
            </w:r>
          </w:p>
        </w:tc>
        <w:tc>
          <w:tcPr>
            <w:tcW w:w="58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2</w:t>
            </w:r>
          </w:p>
        </w:tc>
      </w:tr>
      <w:tr w:rsidR="002F503E">
        <w:trPr>
          <w:trHeight w:val="271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agronomico e forestale, storico-artistico, conservativo, nonché tecnologico: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316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8"/>
                <w:sz w:val="19"/>
              </w:rPr>
            </w:pPr>
            <w:r>
              <w:rPr>
                <w:rFonts w:ascii="Arial" w:eastAsia="Arial" w:hAnsi="Arial"/>
                <w:b/>
                <w:w w:val="98"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w w:val="98"/>
                <w:sz w:val="19"/>
              </w:rPr>
              <w:t>ricorso a professionalità interne in possesso di idonea competenza nelle materie oggetto progetto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2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utilizzo della procedura del concorso di progettazione o del concorso di idee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40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263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A1.2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Non si tratta di lavori di particolare rilevanza sotto il profilo architettonico, ambientale, paesaggistico,</w:t>
            </w:r>
          </w:p>
        </w:tc>
        <w:tc>
          <w:tcPr>
            <w:tcW w:w="58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24 c. 1</w:t>
            </w:r>
          </w:p>
        </w:tc>
      </w:tr>
      <w:tr w:rsidR="002F503E">
        <w:trPr>
          <w:trHeight w:val="271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agronomico e forestale, storico-artistico, conservativo, nonché tecnologico: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313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ricorso a uffici tecnici delle stazioni appaltanti (progettazione interna)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4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ricorso a uffici consortili di progettazione e di direzione dei lavori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2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ricorso a organismi di altre pubbliche amministrazioni (per legge)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8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ricorso a soggetti esterni (appalto v.</w:t>
            </w:r>
            <w:r>
              <w:rPr>
                <w:rFonts w:ascii="Arial" w:eastAsia="Arial" w:hAnsi="Arial"/>
                <w:b/>
                <w:sz w:val="22"/>
              </w:rPr>
              <w:t xml:space="preserve"> </w:t>
            </w:r>
            <w:r>
              <w:rPr>
                <w:rFonts w:ascii="Arial" w:eastAsia="Arial" w:hAnsi="Arial"/>
                <w:b/>
                <w:sz w:val="19"/>
              </w:rPr>
              <w:t>checklist M)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4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F503E">
        <w:trPr>
          <w:trHeight w:val="263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A1.3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Verifica caratteristiche, requisiti ed elaborati previsti dal livello di progettazione richiesto (fattibilità</w:t>
            </w:r>
          </w:p>
        </w:tc>
        <w:tc>
          <w:tcPr>
            <w:tcW w:w="58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1 e 3</w:t>
            </w:r>
          </w:p>
        </w:tc>
      </w:tr>
      <w:tr w:rsidR="002F503E">
        <w:trPr>
          <w:trHeight w:val="230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tecnica ed economica, definitiva ed esecutiva) (contenuti art. 23 c. 3 - in attesa Decreto MIT – art.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F503E">
        <w:trPr>
          <w:trHeight w:val="271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216 c. 4)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42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263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A1.4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Trattasi di progettazione semplificata per interventi di manutenzione ordinaria fino a un importo di</w:t>
            </w:r>
          </w:p>
        </w:tc>
        <w:tc>
          <w:tcPr>
            <w:tcW w:w="584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3bis</w:t>
            </w:r>
          </w:p>
        </w:tc>
      </w:tr>
      <w:tr w:rsidR="002F503E">
        <w:trPr>
          <w:trHeight w:val="271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2.500.000 euro (in attesa Decreto MIT)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42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263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A1.5</w:t>
            </w:r>
          </w:p>
        </w:tc>
        <w:tc>
          <w:tcPr>
            <w:tcW w:w="9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E’  stata  effettuata  la  verifica  preventiva  dell’interesse  archeologico  (invio  al  soprintendente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25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F503E">
        <w:trPr>
          <w:trHeight w:val="23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territorialmente  competente,  prima  dell’approvazione,  della  copia  del  progetto  di  fattibilità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F503E">
        <w:trPr>
          <w:trHeight w:val="271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dell’intervento o di uno stralcio di esso sufficiente ai fini archeologici)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62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2F503E">
        <w:trPr>
          <w:trHeight w:val="1307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right="1680"/>
              <w:jc w:val="righ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3</w:t>
            </w:r>
          </w:p>
        </w:tc>
      </w:tr>
    </w:tbl>
    <w:p w:rsidR="002F503E" w:rsidRDefault="002F503E">
      <w:pPr>
        <w:rPr>
          <w:rFonts w:ascii="Arial" w:eastAsia="Arial" w:hAnsi="Arial"/>
          <w:b/>
          <w:sz w:val="24"/>
        </w:rPr>
        <w:sectPr w:rsidR="002F503E">
          <w:pgSz w:w="16840" w:h="12100" w:orient="landscape"/>
          <w:pgMar w:top="680" w:right="598" w:bottom="0" w:left="560" w:header="0" w:footer="0" w:gutter="0"/>
          <w:cols w:space="0" w:equalWidth="0">
            <w:col w:w="15680"/>
          </w:cols>
          <w:docGrid w:linePitch="360"/>
        </w:sectPr>
      </w:pPr>
    </w:p>
    <w:p w:rsidR="002F503E" w:rsidRDefault="002F503E">
      <w:pPr>
        <w:spacing w:line="0" w:lineRule="atLeast"/>
        <w:ind w:left="860"/>
        <w:rPr>
          <w:rFonts w:ascii="Arial" w:eastAsia="Arial" w:hAnsi="Arial"/>
          <w:b/>
        </w:rPr>
      </w:pPr>
      <w:bookmarkStart w:id="5" w:name="page5"/>
      <w:bookmarkEnd w:id="5"/>
      <w:r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141605</wp:posOffset>
            </wp:positionV>
            <wp:extent cx="9975850" cy="5567045"/>
            <wp:effectExtent l="19050" t="0" r="6350" b="0"/>
            <wp:wrapNone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0" cy="556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257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00"/>
        <w:gridCol w:w="9060"/>
        <w:gridCol w:w="1860"/>
        <w:gridCol w:w="440"/>
        <w:gridCol w:w="440"/>
        <w:gridCol w:w="420"/>
        <w:gridCol w:w="600"/>
        <w:gridCol w:w="2080"/>
      </w:tblGrid>
      <w:tr w:rsidR="002F503E">
        <w:trPr>
          <w:trHeight w:val="271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A1.6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E’ stata effettuata la verifica preventiva della progettazione</w:t>
            </w:r>
          </w:p>
        </w:tc>
        <w:tc>
          <w:tcPr>
            <w:tcW w:w="3760" w:type="dxa"/>
            <w:gridSpan w:val="5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26</w:t>
            </w:r>
          </w:p>
        </w:tc>
        <w:tc>
          <w:tcPr>
            <w:tcW w:w="208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42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263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A1.7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E’ stata effettuata la validazione del progetto posto a base di gara (atto formale che riporta gli esiti</w:t>
            </w:r>
          </w:p>
        </w:tc>
        <w:tc>
          <w:tcPr>
            <w:tcW w:w="3760" w:type="dxa"/>
            <w:gridSpan w:val="5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26 c. 8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F503E">
        <w:trPr>
          <w:trHeight w:val="271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della verifica), sottoscritta dal responsabile unico del procedimento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39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242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A1.8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E’ stata effettuata la procedura di approvazione del progetto (conferenza di servizi, fattibilità,</w:t>
            </w:r>
          </w:p>
        </w:tc>
        <w:tc>
          <w:tcPr>
            <w:tcW w:w="3760" w:type="dxa"/>
            <w:gridSpan w:val="5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27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2F503E">
        <w:trPr>
          <w:trHeight w:val="294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interferenze, ecc.)</w:t>
            </w:r>
          </w:p>
        </w:tc>
        <w:tc>
          <w:tcPr>
            <w:tcW w:w="3760" w:type="dxa"/>
            <w:gridSpan w:val="5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Legge 241/1990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9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373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A2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Appalto servizi e forniture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92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2F503E">
        <w:trPr>
          <w:trHeight w:val="265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A2.1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Verifica caratteristiche, requisiti ed elaborati previsti dal livello di progettazione richiesto (di regola, in</w:t>
            </w:r>
          </w:p>
        </w:tc>
        <w:tc>
          <w:tcPr>
            <w:tcW w:w="3760" w:type="dxa"/>
            <w:gridSpan w:val="5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14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271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un unico livello)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39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306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A2.2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Verifica contenuti del progetto per appalto servizi:</w:t>
            </w:r>
          </w:p>
        </w:tc>
        <w:tc>
          <w:tcPr>
            <w:tcW w:w="3760" w:type="dxa"/>
            <w:gridSpan w:val="5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15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288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relazione tecnico-illustrativa del contesto in cui è inserito il servizio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290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indicazioni e disposizioni per la stesura dei documenti inerenti alla sicurezza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290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calcolo importi con indicazione degli oneri della sicurezza non soggetti a ribasso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290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prospetto economico degli oneri complessivi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250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-  capitolato speciale descrittivo e prestazionale (specifiche tecniche, requisiti minimi offerte, aspetti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2F503E">
        <w:trPr>
          <w:trHeight w:val="271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oggetto di variante migliorativa, i criteri premiali valutazione offerte, altre circostanze)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39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239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A3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Incentivi per funzioni tecniche</w:t>
            </w:r>
          </w:p>
        </w:tc>
        <w:tc>
          <w:tcPr>
            <w:tcW w:w="3760" w:type="dxa"/>
            <w:gridSpan w:val="5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113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F503E">
        <w:trPr>
          <w:trHeight w:val="194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760" w:type="dxa"/>
            <w:gridSpan w:val="5"/>
            <w:shd w:val="clear" w:color="auto" w:fill="auto"/>
            <w:vAlign w:val="bottom"/>
          </w:tcPr>
          <w:p w:rsidR="002F503E" w:rsidRDefault="002F503E">
            <w:pPr>
              <w:spacing w:line="194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Comunicato ANAC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2F503E">
        <w:trPr>
          <w:trHeight w:val="253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6.9.2017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2F503E">
        <w:trPr>
          <w:trHeight w:val="263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A3.1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Sono state destinate ad un apposito fondo risorse finanziarie in misura non superiore al 2 per cento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F503E">
        <w:trPr>
          <w:trHeight w:val="271"/>
        </w:trPr>
        <w:tc>
          <w:tcPr>
            <w:tcW w:w="8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modulate sull’importo dei lavori, servizi e forniture, posti a base di gara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42"/>
        </w:trPr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263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A3.2</w:t>
            </w:r>
          </w:p>
        </w:tc>
        <w:tc>
          <w:tcPr>
            <w:tcW w:w="9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L’ottanta per cento delle risorse finanziarie del fondo è ripartito, per ciascuna opera o lavoro,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F503E">
        <w:trPr>
          <w:trHeight w:val="23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servizio, fornitura con le modalità e i criteri previsti in sede di contrattazione decentrata integrativa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F503E">
        <w:trPr>
          <w:trHeight w:val="23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del personale, sulla base di apposito regolamento adottato dalle amministrazioni secondo i rispettivi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F503E">
        <w:trPr>
          <w:trHeight w:val="23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ordinamenti, tra il responsabile unico del procedimento e i soggetti che svolgono le funzioni tecniche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F503E">
        <w:trPr>
          <w:trHeight w:val="271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nonché tra i loro collaboratori (no per attività di progettazione)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42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</w:tbl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76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376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4</w:t>
      </w:r>
    </w:p>
    <w:p w:rsidR="002F503E" w:rsidRDefault="002F503E">
      <w:pPr>
        <w:spacing w:line="0" w:lineRule="atLeast"/>
        <w:ind w:left="13760"/>
        <w:rPr>
          <w:rFonts w:ascii="Arial" w:eastAsia="Arial" w:hAnsi="Arial"/>
          <w:b/>
          <w:sz w:val="24"/>
        </w:rPr>
        <w:sectPr w:rsidR="002F503E">
          <w:pgSz w:w="16840" w:h="11906" w:orient="landscape"/>
          <w:pgMar w:top="680" w:right="598" w:bottom="675" w:left="560" w:header="0" w:footer="0" w:gutter="0"/>
          <w:cols w:space="0" w:equalWidth="0">
            <w:col w:w="15680"/>
          </w:cols>
          <w:docGrid w:linePitch="360"/>
        </w:sectPr>
      </w:pPr>
    </w:p>
    <w:p w:rsidR="002F503E" w:rsidRDefault="002F503E">
      <w:pPr>
        <w:spacing w:line="119" w:lineRule="exact"/>
        <w:rPr>
          <w:rFonts w:ascii="Times New Roman" w:eastAsia="Times New Roman" w:hAnsi="Times New Roman"/>
        </w:rPr>
      </w:pPr>
      <w:bookmarkStart w:id="6" w:name="page6"/>
      <w:bookmarkEnd w:id="6"/>
    </w:p>
    <w:p w:rsidR="002F503E" w:rsidRDefault="002F503E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AGEA – Sviluppo Rurale – checklist per la verifica delle procedure di appalto – vers. 2.3 del 30_01_2018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409575</wp:posOffset>
            </wp:positionV>
            <wp:extent cx="9235440" cy="5672455"/>
            <wp:effectExtent l="19050" t="0" r="3810" b="0"/>
            <wp:wrapNone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5440" cy="567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3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20"/>
        <w:rPr>
          <w:rFonts w:ascii="Arial" w:eastAsia="Arial" w:hAnsi="Arial"/>
          <w:b/>
          <w:color w:val="FFFFFF"/>
          <w:sz w:val="24"/>
        </w:rPr>
      </w:pPr>
      <w:r>
        <w:rPr>
          <w:rFonts w:ascii="Arial" w:eastAsia="Arial" w:hAnsi="Arial"/>
          <w:b/>
          <w:color w:val="FFFFFF"/>
          <w:sz w:val="24"/>
        </w:rPr>
        <w:t>D – PROCEDURA - STAZIONE APPALTANTE – OGGETTO APPALTO - CRITERIO AGGIUDICAZIONE - SETTORE - RUP</w:t>
      </w:r>
    </w:p>
    <w:p w:rsidR="002F503E" w:rsidRDefault="002F503E">
      <w:pPr>
        <w:spacing w:line="26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Codice CIG</w:t>
      </w:r>
    </w:p>
    <w:p w:rsidR="002F503E" w:rsidRDefault="002F503E">
      <w:pPr>
        <w:spacing w:line="25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Oggetto dell’appalto</w:t>
      </w:r>
    </w:p>
    <w:p w:rsidR="002F503E" w:rsidRDefault="002F503E">
      <w:pPr>
        <w:spacing w:line="250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200"/>
        <w:gridCol w:w="5260"/>
        <w:gridCol w:w="5060"/>
      </w:tblGrid>
      <w:tr w:rsidR="002F503E">
        <w:trPr>
          <w:trHeight w:val="303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Valore dell’appalto comprese opzioni</w:t>
            </w:r>
          </w:p>
        </w:tc>
        <w:tc>
          <w:tcPr>
            <w:tcW w:w="526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€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□ Soprasoglia</w:t>
            </w:r>
          </w:p>
        </w:tc>
      </w:tr>
      <w:tr w:rsidR="002F503E">
        <w:trPr>
          <w:trHeight w:val="230"/>
        </w:trPr>
        <w:tc>
          <w:tcPr>
            <w:tcW w:w="420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(art. 35)</w:t>
            </w:r>
          </w:p>
        </w:tc>
        <w:tc>
          <w:tcPr>
            <w:tcW w:w="526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06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□ Sottosoglia</w:t>
            </w:r>
          </w:p>
        </w:tc>
      </w:tr>
      <w:tr w:rsidR="002F503E">
        <w:trPr>
          <w:trHeight w:val="186"/>
        </w:trPr>
        <w:tc>
          <w:tcPr>
            <w:tcW w:w="420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06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2F503E">
        <w:trPr>
          <w:trHeight w:val="102"/>
        </w:trPr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3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298"/>
        </w:trPr>
        <w:tc>
          <w:tcPr>
            <w:tcW w:w="420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Tipo di appalto/prestazioni (cfr. tipologia di</w:t>
            </w:r>
          </w:p>
        </w:tc>
        <w:tc>
          <w:tcPr>
            <w:tcW w:w="103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□ realizzazione di opere e lavori  □ fornitura di beni   □ prestazione di servizi   □ contratto misto (*)</w:t>
            </w:r>
          </w:p>
        </w:tc>
      </w:tr>
      <w:tr w:rsidR="002F503E">
        <w:trPr>
          <w:trHeight w:val="74"/>
        </w:trPr>
        <w:tc>
          <w:tcPr>
            <w:tcW w:w="420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320" w:type="dxa"/>
            <w:gridSpan w:val="2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  <w:sz w:val="18"/>
              </w:rPr>
            </w:pPr>
            <w:r>
              <w:rPr>
                <w:rFonts w:ascii="Arial" w:eastAsia="Arial" w:hAnsi="Arial"/>
                <w:b/>
                <w:w w:val="93"/>
                <w:sz w:val="18"/>
              </w:rPr>
              <w:t>(*) art. 28 L’aggiudicazione avviene secondo le disposizioni applicabili al tipo di appalto che caratterizza l’oggetto principale del</w:t>
            </w:r>
          </w:p>
        </w:tc>
      </w:tr>
      <w:tr w:rsidR="002F503E">
        <w:trPr>
          <w:trHeight w:val="210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210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investimento v. checklist A)</w:t>
            </w:r>
          </w:p>
        </w:tc>
        <w:tc>
          <w:tcPr>
            <w:tcW w:w="10320" w:type="dxa"/>
            <w:gridSpan w:val="2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2F503E">
        <w:trPr>
          <w:trHeight w:val="230"/>
        </w:trPr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3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contratto. Nei contratti misti l’oggetto principale è determinato in base al valore stimato più elevato.</w:t>
            </w:r>
          </w:p>
        </w:tc>
      </w:tr>
      <w:tr w:rsidR="002F503E">
        <w:trPr>
          <w:trHeight w:val="38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PROCEDURA APERTA (art. 60)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PROCEDURA RISTRETTA (art. 61)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PROCEDURA COMPETITIVA CON NEGOZIAZIONE (art. 62)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PROCEDURA NEGOZIATA SENZA PREVIA PUBBLICAZIONE DI UN BANDO DI GARA (art. 63)</w:t>
            </w:r>
          </w:p>
        </w:tc>
      </w:tr>
      <w:tr w:rsidR="002F503E">
        <w:trPr>
          <w:trHeight w:val="31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DIALOGO COMPETITIVO (art. 64)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PARTENARIATO PER L’INNOVAZIONE (art. 65)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AFFIDAMENTO DIRETTO (art. 36, comma 2, lettera a)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PROCEDURA NEGOZIATA SEMPLIFICATA LAVORI, SERVIZI E FORNITURE (art. 36, comma 2, lettera b)</w:t>
            </w:r>
          </w:p>
        </w:tc>
      </w:tr>
      <w:tr w:rsidR="002F503E">
        <w:trPr>
          <w:trHeight w:val="327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Tipo di procedura</w:t>
            </w:r>
          </w:p>
        </w:tc>
        <w:tc>
          <w:tcPr>
            <w:tcW w:w="103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PROCEDURA NEGOZIATA SEMPLIFICATA PER LAVORI (art. 36, comma 2, lettera c)</w:t>
            </w:r>
          </w:p>
        </w:tc>
      </w:tr>
      <w:tr w:rsidR="002F503E">
        <w:trPr>
          <w:trHeight w:val="299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AFFIDAMENTI IN HOUSE (art. 5, comma 1 - art. 192, comma 1)</w:t>
            </w: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ACCORDO TRA PIÙ AMMINISTRAZIONI (art. 5, comma 6)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ORDINE SU CONVENZIONE QUADRO CONSIP o SOGGETTO AGGREGATORE</w:t>
            </w: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ORDINE SU ACCORDO QUADRO STIPULATO DA CENTRALE COMMITTENZA</w:t>
            </w:r>
          </w:p>
        </w:tc>
      </w:tr>
      <w:tr w:rsidR="002F503E">
        <w:trPr>
          <w:trHeight w:val="31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RICHIESTA DI OFFERTA SU MEPA (RDO) (servizi/forniture &lt; 209.000 € - lavori manutenzione &lt; 1.000.000 €)</w:t>
            </w: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ORDINE DIRETTO DI ACQUISTO SU MEPA (ODA)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ORDINE SU ALTRO MERCATO ELETTRONICO REALIZZATO DA CENTRALE DI COMMITTENZA</w:t>
            </w:r>
          </w:p>
        </w:tc>
      </w:tr>
      <w:tr w:rsidR="002F503E">
        <w:trPr>
          <w:trHeight w:val="31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SISTEMA DINAMICO DI ACQUISIZIONE (art. 55)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ASTE ELETTRONICHE (art. 56)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40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1327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right="1246"/>
              <w:jc w:val="righ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5</w:t>
            </w:r>
          </w:p>
        </w:tc>
      </w:tr>
    </w:tbl>
    <w:p w:rsidR="002F503E" w:rsidRDefault="002F503E">
      <w:pPr>
        <w:rPr>
          <w:rFonts w:ascii="Arial" w:eastAsia="Arial" w:hAnsi="Arial"/>
          <w:b/>
          <w:sz w:val="24"/>
        </w:rPr>
        <w:sectPr w:rsidR="002F503E">
          <w:pgSz w:w="16840" w:h="12026" w:orient="landscape"/>
          <w:pgMar w:top="680" w:right="1018" w:bottom="0" w:left="1300" w:header="0" w:footer="0" w:gutter="0"/>
          <w:cols w:space="0" w:equalWidth="0">
            <w:col w:w="14520"/>
          </w:cols>
          <w:docGrid w:linePitch="360"/>
        </w:sect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  <w:bookmarkStart w:id="7" w:name="page7"/>
      <w:bookmarkEnd w:id="7"/>
    </w:p>
    <w:p w:rsidR="002F503E" w:rsidRDefault="002F503E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AGEA – Sviluppo Rurale – checklist per la verifica delle procedure di appalto – vers. 2.3 del 30_01_2018</w:t>
      </w:r>
    </w:p>
    <w:p w:rsidR="002F503E" w:rsidRDefault="002F503E">
      <w:pPr>
        <w:spacing w:line="189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200"/>
        <w:gridCol w:w="10340"/>
      </w:tblGrid>
      <w:tr w:rsidR="002F503E">
        <w:trPr>
          <w:trHeight w:val="312"/>
        </w:trPr>
        <w:tc>
          <w:tcPr>
            <w:tcW w:w="4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CATALOGHI ELETTRONICI (art. 57)</w:t>
            </w:r>
          </w:p>
        </w:tc>
      </w:tr>
      <w:tr w:rsidR="002F503E">
        <w:trPr>
          <w:trHeight w:val="299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PIATTAFORME TELEMATICHE DI NEGOZIAZIONE (art. 58)</w:t>
            </w:r>
          </w:p>
        </w:tc>
      </w:tr>
      <w:tr w:rsidR="002F503E">
        <w:trPr>
          <w:trHeight w:val="98"/>
        </w:trPr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26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AMMINISTRAZIONE STATALE CENTRALE O PERIFERICA</w:t>
            </w:r>
          </w:p>
        </w:tc>
      </w:tr>
      <w:tr w:rsidR="002F503E">
        <w:trPr>
          <w:trHeight w:val="312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ISTITUTO O SCUOLA DI OGNI ORDINE E GRADO</w:t>
            </w:r>
          </w:p>
        </w:tc>
      </w:tr>
      <w:tr w:rsidR="002F503E">
        <w:trPr>
          <w:trHeight w:val="312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ISTITUZIONE EDUCATIVA O ISTITUZIONE UNIVERSITARIA</w:t>
            </w:r>
          </w:p>
        </w:tc>
      </w:tr>
      <w:tr w:rsidR="002F503E">
        <w:trPr>
          <w:trHeight w:val="314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REGIONE</w:t>
            </w:r>
          </w:p>
        </w:tc>
      </w:tr>
      <w:tr w:rsidR="002F503E">
        <w:trPr>
          <w:trHeight w:val="312"/>
        </w:trPr>
        <w:tc>
          <w:tcPr>
            <w:tcW w:w="420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Tipo stazione appaltante</w:t>
            </w: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ENTE REGIONALE</w:t>
            </w:r>
          </w:p>
        </w:tc>
      </w:tr>
      <w:tr w:rsidR="002F503E">
        <w:trPr>
          <w:trHeight w:val="137"/>
        </w:trPr>
        <w:tc>
          <w:tcPr>
            <w:tcW w:w="420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3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ENTE LOCALE DI CUI ALL’ART. 2 DEL D.LGS. 18 AGOSTO 2000, N. 267</w:t>
            </w:r>
          </w:p>
        </w:tc>
      </w:tr>
      <w:tr w:rsidR="002F503E">
        <w:trPr>
          <w:trHeight w:val="195"/>
        </w:trPr>
        <w:tc>
          <w:tcPr>
            <w:tcW w:w="420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qualificata (AUSA – Elenco ANAC)</w:t>
            </w:r>
          </w:p>
        </w:tc>
        <w:tc>
          <w:tcPr>
            <w:tcW w:w="103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2F503E">
        <w:trPr>
          <w:trHeight w:val="327"/>
        </w:trPr>
        <w:tc>
          <w:tcPr>
            <w:tcW w:w="420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CONSORZIO O ASSOCIAZIONE DI ENTI LOCALI</w:t>
            </w:r>
          </w:p>
        </w:tc>
      </w:tr>
      <w:tr w:rsidR="002F503E">
        <w:trPr>
          <w:trHeight w:val="299"/>
        </w:trPr>
        <w:tc>
          <w:tcPr>
            <w:tcW w:w="420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non qualificata con limite:</w:t>
            </w: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ENTE DEL SERVIZIO SANITARIO NAZIONALE</w:t>
            </w:r>
          </w:p>
        </w:tc>
      </w:tr>
      <w:tr w:rsidR="002F503E">
        <w:trPr>
          <w:trHeight w:val="312"/>
        </w:trPr>
        <w:tc>
          <w:tcPr>
            <w:tcW w:w="420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COMUNE NON CAPOLUOGO DI PROVINCIA</w:t>
            </w:r>
          </w:p>
        </w:tc>
      </w:tr>
      <w:tr w:rsidR="002F503E">
        <w:trPr>
          <w:trHeight w:val="266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servizi e forniture &lt; 40.000 €</w:t>
            </w: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o  </w:t>
            </w:r>
            <w:r>
              <w:rPr>
                <w:rFonts w:ascii="Arial" w:eastAsia="Arial" w:hAnsi="Arial"/>
                <w:b/>
                <w:sz w:val="16"/>
              </w:rPr>
              <w:t>AUTONOMAMENTE E DIRETTAMENTE (SOLO PER SERVIZI/FORNITURE &lt; 40.000 € E LAVORI &lt; 150.000 €)</w:t>
            </w:r>
          </w:p>
        </w:tc>
      </w:tr>
      <w:tr w:rsidR="002F503E">
        <w:trPr>
          <w:trHeight w:val="121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121" w:lineRule="exact"/>
              <w:ind w:left="3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o  </w:t>
            </w:r>
            <w:r>
              <w:rPr>
                <w:rFonts w:ascii="Arial" w:eastAsia="Arial" w:hAnsi="Arial"/>
                <w:b/>
                <w:sz w:val="14"/>
              </w:rPr>
              <w:t>ADESIONE A CONVENZIONE/ACCORDO QUADRO DI CENTRALE COMMITTENZA O SOGGETTO AGGREGATORE</w:t>
            </w:r>
          </w:p>
        </w:tc>
      </w:tr>
      <w:tr w:rsidR="002F503E">
        <w:trPr>
          <w:trHeight w:val="182"/>
        </w:trPr>
        <w:tc>
          <w:tcPr>
            <w:tcW w:w="420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lavori &lt; 150.000 €</w:t>
            </w: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182" w:lineRule="exact"/>
              <w:ind w:left="3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o  </w:t>
            </w:r>
            <w:r>
              <w:rPr>
                <w:rFonts w:ascii="Arial" w:eastAsia="Arial" w:hAnsi="Arial"/>
                <w:b/>
                <w:sz w:val="16"/>
              </w:rPr>
              <w:t>CENTRALE DI COMMITTENZA O SOGGETTO AGGREGATORE QUALIFICATO</w:t>
            </w:r>
          </w:p>
        </w:tc>
      </w:tr>
      <w:tr w:rsidR="002F503E">
        <w:trPr>
          <w:trHeight w:val="163"/>
        </w:trPr>
        <w:tc>
          <w:tcPr>
            <w:tcW w:w="420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3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o  </w:t>
            </w:r>
            <w:r>
              <w:rPr>
                <w:rFonts w:ascii="Arial" w:eastAsia="Arial" w:hAnsi="Arial"/>
                <w:b/>
                <w:sz w:val="16"/>
              </w:rPr>
              <w:t>UNIONE DI COMUNI COSTITUITA E QUALIFICATA COME CENTRALE DI COMMITTENZA</w:t>
            </w:r>
          </w:p>
        </w:tc>
      </w:tr>
      <w:tr w:rsidR="002F503E">
        <w:trPr>
          <w:trHeight w:val="22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3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2F503E">
        <w:trPr>
          <w:trHeight w:val="185"/>
        </w:trPr>
        <w:tc>
          <w:tcPr>
            <w:tcW w:w="420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soggetti di cui all’art. 1, comma 2, lettere a),</w:t>
            </w: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o  </w:t>
            </w:r>
            <w:r>
              <w:rPr>
                <w:rFonts w:ascii="Arial" w:eastAsia="Arial" w:hAnsi="Arial"/>
                <w:b/>
                <w:sz w:val="16"/>
              </w:rPr>
              <w:t>ASSOCIAZIONE O CONSORZIO IN CENTRALI DI COMMITTENZA NELLE FORME PREVISTE DALL’ORDINAMENTO</w:t>
            </w:r>
          </w:p>
        </w:tc>
      </w:tr>
      <w:tr w:rsidR="002F503E">
        <w:trPr>
          <w:trHeight w:val="238"/>
        </w:trPr>
        <w:tc>
          <w:tcPr>
            <w:tcW w:w="420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o  </w:t>
            </w:r>
            <w:r>
              <w:rPr>
                <w:rFonts w:ascii="Arial" w:eastAsia="Arial" w:hAnsi="Arial"/>
                <w:b/>
                <w:sz w:val="16"/>
              </w:rPr>
              <w:t>STAZIONE UNICA APPALTANTE COSTITUITA PRESSO GLI ENTI DI AREA VASTA</w:t>
            </w:r>
          </w:p>
        </w:tc>
      </w:tr>
      <w:tr w:rsidR="002F503E">
        <w:trPr>
          <w:trHeight w:val="299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5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b), c), d), e)</w:t>
            </w: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COMUNE CAPOLUOGO DI PROVINCIA</w:t>
            </w:r>
          </w:p>
        </w:tc>
      </w:tr>
      <w:tr w:rsidR="002F503E">
        <w:trPr>
          <w:trHeight w:val="314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AMMINISTRAZIONE PUBBLICA INSERITA NEL CONTO ECONOMICO CONSOLIDATO ISTAT</w:t>
            </w:r>
          </w:p>
        </w:tc>
      </w:tr>
      <w:tr w:rsidR="002F503E">
        <w:trPr>
          <w:trHeight w:val="312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AMMINISTRAZIONE PUBBLICA DI CUI ALL’ART. 1 DEL DECRETO LEGISLATIVO 30 MARZO 2001, N. 165</w:t>
            </w:r>
          </w:p>
        </w:tc>
      </w:tr>
      <w:tr w:rsidR="002F503E">
        <w:trPr>
          <w:trHeight w:val="314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ENTE PUBBLICO NON ECONOMICO</w:t>
            </w:r>
          </w:p>
        </w:tc>
      </w:tr>
      <w:tr w:rsidR="002F503E">
        <w:trPr>
          <w:trHeight w:val="312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ORGANISMO DI DIRITTO PUBBLICO</w:t>
            </w:r>
          </w:p>
        </w:tc>
      </w:tr>
      <w:tr w:rsidR="002F503E">
        <w:trPr>
          <w:trHeight w:val="312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ALTRO (specificare) __________________</w:t>
            </w:r>
          </w:p>
        </w:tc>
      </w:tr>
      <w:tr w:rsidR="002F503E">
        <w:trPr>
          <w:trHeight w:val="40"/>
        </w:trPr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0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32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FORNITURA O SERVIZIO DI IMPORTO INFERIORE A 40.000 EURO</w:t>
            </w: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LAVORO DI IMPORTO INFERIORE A 150.000 EURO</w:t>
            </w:r>
          </w:p>
        </w:tc>
      </w:tr>
      <w:tr w:rsidR="002F503E">
        <w:trPr>
          <w:trHeight w:val="31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FORNITURA O SERVIZIO DI IMPORTO PARI O SUPERIORE A 40.000 EURO E INFERIORE A SOGLIA ART. 35</w:t>
            </w:r>
          </w:p>
        </w:tc>
      </w:tr>
      <w:tr w:rsidR="002F503E">
        <w:trPr>
          <w:trHeight w:val="312"/>
        </w:trPr>
        <w:tc>
          <w:tcPr>
            <w:tcW w:w="42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Tipologia di appalto</w:t>
            </w: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LAVORO DI IMPORTO PARI O SUPERIORE A 150.000 EURO E INFERIORE A 1.000.000 EURO</w:t>
            </w:r>
          </w:p>
        </w:tc>
      </w:tr>
      <w:tr w:rsidR="002F503E">
        <w:trPr>
          <w:trHeight w:val="230"/>
        </w:trPr>
        <w:tc>
          <w:tcPr>
            <w:tcW w:w="42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3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FORNITURA O SERVIZIO DI IMPORTO PARI O SUPERIORE A SOGLIA ART. 35</w:t>
            </w:r>
          </w:p>
        </w:tc>
      </w:tr>
      <w:tr w:rsidR="002F503E">
        <w:trPr>
          <w:trHeight w:val="8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3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LAVORO DI IMPORTO PARI O SUPERIORE A 1.000.000 EURO E INFERIORE A 5.225.000 EURO</w:t>
            </w:r>
          </w:p>
        </w:tc>
      </w:tr>
      <w:tr w:rsidR="002F503E">
        <w:trPr>
          <w:trHeight w:val="312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LAVORO DI IMPORTO PARI O SUPERIORE A 5.225.000 EURO</w:t>
            </w:r>
          </w:p>
        </w:tc>
      </w:tr>
      <w:tr w:rsidR="002F503E">
        <w:trPr>
          <w:trHeight w:val="326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Per forniture e servizi indicare se:</w:t>
            </w:r>
          </w:p>
        </w:tc>
      </w:tr>
      <w:tr w:rsidR="002F503E">
        <w:trPr>
          <w:trHeight w:val="314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CATEGORIA MERCEOLOGICA DPCM 24 DICEMBRE 2015, DI CUI ALL’ART. 9, COMMA 3, D.L. N. 66/2014</w:t>
            </w:r>
          </w:p>
        </w:tc>
      </w:tr>
      <w:tr w:rsidR="002F503E">
        <w:trPr>
          <w:trHeight w:val="40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0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2F503E">
        <w:trPr>
          <w:trHeight w:val="1226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82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6</w:t>
            </w:r>
          </w:p>
        </w:tc>
      </w:tr>
    </w:tbl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24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-6846570</wp:posOffset>
            </wp:positionV>
            <wp:extent cx="9235440" cy="5573395"/>
            <wp:effectExtent l="19050" t="0" r="3810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5440" cy="5573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20" w:lineRule="exact"/>
        <w:rPr>
          <w:rFonts w:ascii="Times New Roman" w:eastAsia="Times New Roman" w:hAnsi="Times New Roman"/>
        </w:rPr>
        <w:sectPr w:rsidR="002F503E">
          <w:pgSz w:w="16840" w:h="12106" w:orient="landscape"/>
          <w:pgMar w:top="680" w:right="1018" w:bottom="0" w:left="1300" w:header="0" w:footer="0" w:gutter="0"/>
          <w:cols w:space="0" w:equalWidth="0">
            <w:col w:w="14520"/>
          </w:cols>
          <w:docGrid w:linePitch="360"/>
        </w:sectPr>
      </w:pPr>
    </w:p>
    <w:p w:rsidR="002F503E" w:rsidRDefault="002F503E">
      <w:pPr>
        <w:spacing w:line="40" w:lineRule="exact"/>
        <w:rPr>
          <w:rFonts w:ascii="Times New Roman" w:eastAsia="Times New Roman" w:hAnsi="Times New Roman"/>
        </w:rPr>
      </w:pPr>
      <w:bookmarkStart w:id="8" w:name="page8"/>
      <w:bookmarkEnd w:id="8"/>
    </w:p>
    <w:p w:rsidR="002F503E" w:rsidRDefault="002F503E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AGEA – Sviluppo Rurale – checklist per la verifica delle procedure di appalto – vers. 2.3 del 30_01_2018</w:t>
      </w:r>
    </w:p>
    <w:p w:rsidR="002F503E" w:rsidRDefault="002F503E">
      <w:pPr>
        <w:spacing w:line="244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3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CATEGORIA MERCEOLOGICA DM DEL 22 DICEMBRE 2015, DI CUI ALL’ART. 1, COMMA 7, D.L. N. 95/2012</w:t>
      </w:r>
    </w:p>
    <w:p w:rsidR="002F503E" w:rsidRDefault="002F503E">
      <w:pPr>
        <w:spacing w:line="59" w:lineRule="exact"/>
        <w:rPr>
          <w:rFonts w:ascii="Arial" w:eastAsia="Arial" w:hAnsi="Arial"/>
          <w:b/>
          <w:sz w:val="22"/>
        </w:rPr>
      </w:pPr>
    </w:p>
    <w:p w:rsidR="002F503E" w:rsidRDefault="002F503E">
      <w:pPr>
        <w:numPr>
          <w:ilvl w:val="0"/>
          <w:numId w:val="3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FORNITURA O SERVIZIO INFORMATICO O DI CONNETTIVITÀ, DI CUI AL COMMA 516 LEGGE N. 208/2015</w:t>
      </w:r>
    </w:p>
    <w:p w:rsidR="002F503E" w:rsidRDefault="002F503E">
      <w:pPr>
        <w:spacing w:line="185" w:lineRule="exact"/>
        <w:rPr>
          <w:rFonts w:ascii="Arial" w:eastAsia="Arial" w:hAnsi="Arial"/>
          <w:b/>
          <w:sz w:val="22"/>
        </w:rPr>
      </w:pPr>
    </w:p>
    <w:p w:rsidR="002F503E" w:rsidRDefault="002F503E">
      <w:pPr>
        <w:numPr>
          <w:ilvl w:val="0"/>
          <w:numId w:val="3"/>
        </w:numPr>
        <w:tabs>
          <w:tab w:val="left" w:pos="4520"/>
        </w:tabs>
        <w:spacing w:line="0" w:lineRule="atLeast"/>
        <w:ind w:left="4520" w:hanging="233"/>
        <w:rPr>
          <w:rFonts w:ascii="Arial" w:eastAsia="Arial" w:hAnsi="Arial"/>
          <w:b/>
          <w:sz w:val="28"/>
        </w:rPr>
      </w:pPr>
      <w:r>
        <w:rPr>
          <w:rFonts w:ascii="Arial" w:eastAsia="Arial" w:hAnsi="Arial"/>
          <w:b/>
          <w:sz w:val="18"/>
        </w:rPr>
        <w:t>SULLA BASE DELL’ELEMENTO PREZZO O DEL COSTO</w:t>
      </w:r>
    </w:p>
    <w:p w:rsidR="002F503E" w:rsidRDefault="002F503E">
      <w:pPr>
        <w:spacing w:line="97" w:lineRule="exact"/>
        <w:rPr>
          <w:rFonts w:ascii="Arial" w:eastAsia="Arial" w:hAnsi="Arial"/>
          <w:b/>
          <w:sz w:val="28"/>
        </w:rPr>
      </w:pPr>
    </w:p>
    <w:p w:rsidR="002F503E" w:rsidRDefault="002F503E">
      <w:pPr>
        <w:spacing w:line="283" w:lineRule="auto"/>
        <w:ind w:left="4520" w:right="10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Criterio possibile (scelta discrezionale stazione appaltante) con adeguata motivazione da riportare sul decreto o determina a contrarre (art. 32), solo per:</w:t>
      </w:r>
    </w:p>
    <w:p w:rsidR="002F503E" w:rsidRDefault="002F503E">
      <w:pPr>
        <w:spacing w:line="44" w:lineRule="exact"/>
        <w:rPr>
          <w:rFonts w:ascii="Arial" w:eastAsia="Arial" w:hAnsi="Arial"/>
          <w:b/>
          <w:sz w:val="28"/>
        </w:rPr>
      </w:pPr>
    </w:p>
    <w:p w:rsidR="002F503E" w:rsidRDefault="002F503E">
      <w:pPr>
        <w:spacing w:line="0" w:lineRule="atLeast"/>
        <w:ind w:left="452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 xml:space="preserve">o  </w:t>
      </w:r>
      <w:r>
        <w:rPr>
          <w:rFonts w:ascii="Arial" w:eastAsia="Arial" w:hAnsi="Arial"/>
          <w:b/>
          <w:sz w:val="18"/>
        </w:rPr>
        <w:t>LAVORI DI IMPORTO PARI O INFERIORE A 1.000.000 EURO, SULLA BASE DEL PROGETTO ESECUTIVO, CON</w:t>
      </w:r>
    </w:p>
    <w:p w:rsidR="002F503E" w:rsidRDefault="002F503E">
      <w:pPr>
        <w:spacing w:line="1" w:lineRule="exact"/>
        <w:rPr>
          <w:rFonts w:ascii="Arial" w:eastAsia="Arial" w:hAnsi="Arial"/>
          <w:b/>
          <w:sz w:val="28"/>
        </w:rPr>
      </w:pPr>
    </w:p>
    <w:p w:rsidR="002F503E" w:rsidRDefault="002F503E">
      <w:pPr>
        <w:spacing w:line="0" w:lineRule="atLeast"/>
        <w:ind w:left="480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PROCEDURA NEGOZIATA SEMPLIFICATA</w:t>
      </w:r>
    </w:p>
    <w:p w:rsidR="002F503E" w:rsidRDefault="002F503E">
      <w:pPr>
        <w:spacing w:line="58" w:lineRule="exact"/>
        <w:rPr>
          <w:rFonts w:ascii="Arial" w:eastAsia="Arial" w:hAnsi="Arial"/>
          <w:b/>
          <w:sz w:val="28"/>
        </w:rPr>
      </w:pPr>
    </w:p>
    <w:p w:rsidR="002F503E" w:rsidRDefault="002F503E">
      <w:pPr>
        <w:spacing w:line="0" w:lineRule="atLeast"/>
        <w:ind w:left="452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 xml:space="preserve">o  </w:t>
      </w:r>
      <w:r>
        <w:rPr>
          <w:rFonts w:ascii="Arial" w:eastAsia="Arial" w:hAnsi="Arial"/>
          <w:b/>
          <w:sz w:val="18"/>
        </w:rPr>
        <w:t>LAVORI DI IMPORTO PARI O INFERIORE A 2.000.000 EURO, SULLA BASE DEL PROGETTO ESECUTIVO, CON</w:t>
      </w:r>
    </w:p>
    <w:p w:rsidR="002F503E" w:rsidRDefault="002F503E">
      <w:pPr>
        <w:spacing w:line="0" w:lineRule="atLeast"/>
        <w:ind w:left="480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PROCEDURA ORDINARIA</w:t>
      </w:r>
    </w:p>
    <w:p w:rsidR="002F503E" w:rsidRDefault="002F503E">
      <w:pPr>
        <w:spacing w:line="59" w:lineRule="exact"/>
        <w:rPr>
          <w:rFonts w:ascii="Arial" w:eastAsia="Arial" w:hAnsi="Arial"/>
          <w:b/>
          <w:sz w:val="28"/>
        </w:rPr>
      </w:pPr>
    </w:p>
    <w:p w:rsidR="002F503E" w:rsidRDefault="002F503E">
      <w:pPr>
        <w:spacing w:line="0" w:lineRule="atLeast"/>
        <w:ind w:left="452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 xml:space="preserve">o  </w:t>
      </w:r>
      <w:r>
        <w:rPr>
          <w:rFonts w:ascii="Arial" w:eastAsia="Arial" w:hAnsi="Arial"/>
          <w:b/>
          <w:sz w:val="18"/>
        </w:rPr>
        <w:t>SERVIZI  E  FORNITURE  DI  QUALSIASI  IMPORTO  CON  CARATTERISTICHE  STANDARDIZZATE  O  LE  CUI</w:t>
      </w:r>
    </w:p>
    <w:p w:rsidR="002F503E" w:rsidRDefault="002F503E">
      <w:pPr>
        <w:spacing w:line="1" w:lineRule="exact"/>
        <w:rPr>
          <w:rFonts w:ascii="Arial" w:eastAsia="Arial" w:hAnsi="Arial"/>
          <w:b/>
          <w:sz w:val="28"/>
        </w:rPr>
      </w:pPr>
    </w:p>
    <w:p w:rsidR="002F503E" w:rsidRDefault="002F503E">
      <w:pPr>
        <w:spacing w:line="0" w:lineRule="atLeast"/>
        <w:ind w:left="480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CONDIZIONI SONO DEFINITE DAL MERCATO</w:t>
      </w:r>
    </w:p>
    <w:p w:rsidR="002F503E" w:rsidRDefault="002F503E">
      <w:pPr>
        <w:spacing w:line="59" w:lineRule="exact"/>
        <w:rPr>
          <w:rFonts w:ascii="Arial" w:eastAsia="Arial" w:hAnsi="Arial"/>
          <w:b/>
          <w:sz w:val="28"/>
        </w:rPr>
      </w:pPr>
    </w:p>
    <w:p w:rsidR="002F503E" w:rsidRDefault="002F503E">
      <w:pPr>
        <w:spacing w:line="0" w:lineRule="atLeast"/>
        <w:ind w:left="452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 xml:space="preserve">o  </w:t>
      </w:r>
      <w:r>
        <w:rPr>
          <w:rFonts w:ascii="Arial" w:eastAsia="Arial" w:hAnsi="Arial"/>
          <w:b/>
          <w:sz w:val="18"/>
        </w:rPr>
        <w:t>SERVIZI E FORNITURE DI IMPORTO INFERIORE A 40.000 EURO DI QUALSIASI TIPOLOGIA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18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-2134870</wp:posOffset>
            </wp:positionV>
            <wp:extent cx="9235440" cy="5896610"/>
            <wp:effectExtent l="19050" t="0" r="3810" b="0"/>
            <wp:wrapNone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5440" cy="589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39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200"/>
        <w:gridCol w:w="500"/>
        <w:gridCol w:w="5060"/>
        <w:gridCol w:w="4760"/>
      </w:tblGrid>
      <w:tr w:rsidR="002F503E">
        <w:trPr>
          <w:trHeight w:val="207"/>
        </w:trPr>
        <w:tc>
          <w:tcPr>
            <w:tcW w:w="420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Criterio di aggiudicazione (art. 95)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</w:t>
            </w:r>
          </w:p>
        </w:tc>
        <w:tc>
          <w:tcPr>
            <w:tcW w:w="98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SERVIZI E FORNITURE DI IMPORTO PARI O SUPERIORE A 40.000 EURO E INFERIORE ALLA SOGLIA UE</w:t>
            </w:r>
          </w:p>
        </w:tc>
      </w:tr>
      <w:tr w:rsidR="002F503E">
        <w:trPr>
          <w:trHeight w:val="206"/>
        </w:trPr>
        <w:tc>
          <w:tcPr>
            <w:tcW w:w="420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8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CARATTERIZZATI  DA  ELEVATA  RIPETITIVITÀ  (AD  ECCEZIONE  DI  QUELLI  DI  NOTEVOLE  CONTENUTO</w:t>
            </w:r>
          </w:p>
        </w:tc>
      </w:tr>
      <w:tr w:rsidR="002F503E">
        <w:trPr>
          <w:trHeight w:val="245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2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TECNOLOGICO O CHE HANNO UN CARATTERE INNOVATIVO)</w:t>
            </w:r>
          </w:p>
        </w:tc>
      </w:tr>
      <w:tr w:rsidR="002F503E">
        <w:trPr>
          <w:trHeight w:val="452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56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SULLA BASE DEL MIGLIOR RAPPORTO QUALITÀ/PREZZO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40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20" w:type="dxa"/>
            <w:gridSpan w:val="3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o  </w:t>
            </w:r>
            <w:r>
              <w:rPr>
                <w:rFonts w:ascii="Arial" w:eastAsia="Arial" w:hAnsi="Arial"/>
                <w:b/>
                <w:sz w:val="18"/>
              </w:rPr>
              <w:t>SERVIZI SOCIALI E DI RISTORAZIONE OSPEDALIERA, ASSISTENZIALE E SCOLASTICA</w:t>
            </w:r>
          </w:p>
        </w:tc>
      </w:tr>
      <w:tr w:rsidR="002F503E">
        <w:trPr>
          <w:trHeight w:val="266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56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o  </w:t>
            </w:r>
            <w:r>
              <w:rPr>
                <w:rFonts w:ascii="Arial" w:eastAsia="Arial" w:hAnsi="Arial"/>
                <w:b/>
                <w:sz w:val="18"/>
              </w:rPr>
              <w:t>SERVIZI AD ALTA INTENSITÀ DI MANODOPERA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209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320" w:type="dxa"/>
            <w:gridSpan w:val="3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o  </w:t>
            </w:r>
            <w:r>
              <w:rPr>
                <w:rFonts w:ascii="Arial" w:eastAsia="Arial" w:hAnsi="Arial"/>
                <w:b/>
                <w:sz w:val="18"/>
              </w:rPr>
              <w:t>SERVIZI DI INGEGNERIA E ARCHITETTURA E DEGLI ALTRI SERVIZI DI NATURA TECNICA E INTELLETTUALE, DI</w:t>
            </w:r>
          </w:p>
        </w:tc>
      </w:tr>
      <w:tr w:rsidR="002F503E">
        <w:trPr>
          <w:trHeight w:val="245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IMPORTO SUPERIORE A 40.000 EURO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2F503E">
        <w:trPr>
          <w:trHeight w:val="228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56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o  </w:t>
            </w:r>
            <w:r>
              <w:rPr>
                <w:rFonts w:ascii="Arial" w:eastAsia="Arial" w:hAnsi="Arial"/>
                <w:b/>
                <w:sz w:val="18"/>
              </w:rPr>
              <w:t>SERVIZI  E  FORNITURE  DI  NOTEVOLE  CONTENUTO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TECNOLOGICO  O  CHE  HANNO  UN  CARATTERE</w:t>
            </w:r>
          </w:p>
        </w:tc>
      </w:tr>
      <w:tr w:rsidR="002F503E">
        <w:trPr>
          <w:trHeight w:val="245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INNOVATIVO, DI QUALUNQUE IMPORTO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2F503E">
        <w:trPr>
          <w:trHeight w:val="330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56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3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o  </w:t>
            </w:r>
            <w:r>
              <w:rPr>
                <w:rFonts w:ascii="Arial" w:eastAsia="Arial" w:hAnsi="Arial"/>
                <w:b/>
                <w:sz w:val="18"/>
              </w:rPr>
              <w:t>ALTRI LAVORI, SERVIZI O FORNITURE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388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20" w:type="dxa"/>
            <w:gridSpan w:val="3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SULLA BASE DEL PREZZO O COSTO FISSO IN RELAZIONE A CRITERI QUALITATIVI</w:t>
            </w:r>
          </w:p>
        </w:tc>
      </w:tr>
      <w:tr w:rsidR="002F503E">
        <w:trPr>
          <w:trHeight w:val="92"/>
        </w:trPr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58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Importo a base d’asta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€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102"/>
        </w:trPr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58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Motivazione ragionevolezza costi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102"/>
        </w:trPr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58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Importo aggiudicato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€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5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Ribasso % del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102"/>
        </w:trPr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58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Offerte pervenute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n°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5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di cui valide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right="344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n°</w:t>
            </w:r>
          </w:p>
        </w:tc>
      </w:tr>
      <w:tr w:rsidR="002F503E">
        <w:trPr>
          <w:trHeight w:val="102"/>
        </w:trPr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58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Soggetto aggiudicatario</w:t>
            </w:r>
          </w:p>
        </w:tc>
        <w:tc>
          <w:tcPr>
            <w:tcW w:w="5560" w:type="dxa"/>
            <w:gridSpan w:val="2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Dati identificativi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F503E">
        <w:trPr>
          <w:trHeight w:val="102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1327"/>
        </w:trPr>
        <w:tc>
          <w:tcPr>
            <w:tcW w:w="42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right="1260"/>
              <w:jc w:val="righ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7</w:t>
            </w:r>
          </w:p>
        </w:tc>
      </w:tr>
    </w:tbl>
    <w:p w:rsidR="002F503E" w:rsidRDefault="002F503E">
      <w:pPr>
        <w:rPr>
          <w:rFonts w:ascii="Arial" w:eastAsia="Arial" w:hAnsi="Arial"/>
          <w:b/>
          <w:sz w:val="24"/>
        </w:rPr>
        <w:sectPr w:rsidR="002F503E">
          <w:pgSz w:w="16840" w:h="11947" w:orient="landscape"/>
          <w:pgMar w:top="680" w:right="1018" w:bottom="0" w:left="1300" w:header="0" w:footer="0" w:gutter="0"/>
          <w:cols w:space="0" w:equalWidth="0">
            <w:col w:w="14520"/>
          </w:cols>
          <w:docGrid w:linePitch="360"/>
        </w:sectPr>
      </w:pPr>
    </w:p>
    <w:p w:rsidR="002F503E" w:rsidRDefault="002F503E">
      <w:pPr>
        <w:spacing w:line="22" w:lineRule="exact"/>
        <w:rPr>
          <w:rFonts w:ascii="Times New Roman" w:eastAsia="Times New Roman" w:hAnsi="Times New Roman"/>
        </w:rPr>
      </w:pPr>
      <w:bookmarkStart w:id="9" w:name="page9"/>
      <w:bookmarkEnd w:id="9"/>
    </w:p>
    <w:p w:rsidR="002F503E" w:rsidRDefault="002F503E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AGEA – Sviluppo Rurale – checklist per la verifica delle procedure di appalto – vers. 2.3 del 30_01_2018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135255</wp:posOffset>
            </wp:positionV>
            <wp:extent cx="9235440" cy="316865"/>
            <wp:effectExtent l="19050" t="0" r="3810" b="0"/>
            <wp:wrapNone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5440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183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200"/>
        <w:gridCol w:w="10340"/>
      </w:tblGrid>
      <w:tr w:rsidR="002F503E">
        <w:trPr>
          <w:trHeight w:val="381"/>
        </w:trPr>
        <w:tc>
          <w:tcPr>
            <w:tcW w:w="4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Settore appalto</w:t>
            </w:r>
          </w:p>
        </w:tc>
        <w:tc>
          <w:tcPr>
            <w:tcW w:w="103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□ settori ordinari  □ settori speciali (art.10 – da 115 a 121)</w:t>
            </w:r>
          </w:p>
        </w:tc>
      </w:tr>
      <w:tr w:rsidR="002F503E">
        <w:trPr>
          <w:trHeight w:val="99"/>
        </w:trPr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F503E">
        <w:trPr>
          <w:trHeight w:val="361"/>
        </w:trPr>
        <w:tc>
          <w:tcPr>
            <w:tcW w:w="42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Nomina RUP (art. 31 – Linee guida 3/2016)</w:t>
            </w:r>
          </w:p>
        </w:tc>
        <w:tc>
          <w:tcPr>
            <w:tcW w:w="10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Dati identificativi ed estremi atto nomina</w:t>
            </w:r>
          </w:p>
        </w:tc>
      </w:tr>
      <w:tr w:rsidR="002F503E">
        <w:trPr>
          <w:trHeight w:val="102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</w:tbl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8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-69215</wp:posOffset>
            </wp:positionV>
            <wp:extent cx="9223375" cy="5020310"/>
            <wp:effectExtent l="19050" t="0" r="0" b="0"/>
            <wp:wrapNone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3375" cy="502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47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20"/>
        <w:rPr>
          <w:rFonts w:ascii="Arial" w:eastAsia="Arial" w:hAnsi="Arial"/>
          <w:b/>
          <w:color w:val="FFFFFF"/>
          <w:sz w:val="24"/>
        </w:rPr>
      </w:pPr>
      <w:r>
        <w:rPr>
          <w:rFonts w:ascii="Arial" w:eastAsia="Arial" w:hAnsi="Arial"/>
          <w:b/>
          <w:color w:val="FFFFFF"/>
          <w:sz w:val="24"/>
        </w:rPr>
        <w:t>E - VERIFICA TIPO DI PROCEDURA ADOTTATA</w:t>
      </w:r>
    </w:p>
    <w:p w:rsidR="002F503E" w:rsidRDefault="002F503E">
      <w:pPr>
        <w:spacing w:line="31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20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E1. AFFIDAMENTO DI FORNITURE</w:t>
      </w:r>
    </w:p>
    <w:p w:rsidR="002F503E" w:rsidRDefault="002F503E">
      <w:pPr>
        <w:spacing w:line="245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20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t>Procedure Utilizzabili</w:t>
      </w:r>
    </w:p>
    <w:p w:rsidR="002F503E" w:rsidRDefault="002F503E">
      <w:pPr>
        <w:spacing w:line="25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aperta (art. 60) (procedura ordinaria)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9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ristretta (art. 61) (procedura ordinaria)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9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96" w:lineRule="auto"/>
        <w:ind w:left="120" w:right="64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competitiva con negoziazione (art. 62), consentita nei seguenti casi (con motivazione):</w:t>
      </w:r>
    </w:p>
    <w:p w:rsidR="002F503E" w:rsidRDefault="002F503E">
      <w:pPr>
        <w:spacing w:line="137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presenza di una o più delle seguenti condizioni (art. 59, comma 2, lettera a):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1"/>
          <w:numId w:val="4"/>
        </w:numPr>
        <w:tabs>
          <w:tab w:val="left" w:pos="725"/>
        </w:tabs>
        <w:spacing w:line="310" w:lineRule="auto"/>
        <w:ind w:left="400" w:right="6440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le esigenze dell’amministrazione aggiudicatrice perseguite con l’appalto non possono essere soddisfatte senza adattare soluzioni immediatamente disponibili;</w:t>
      </w:r>
    </w:p>
    <w:p w:rsidR="002F503E" w:rsidRDefault="002F503E">
      <w:pPr>
        <w:spacing w:line="16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4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implicano progettazione o soluzioni innovative;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0" w:lineRule="auto"/>
        <w:ind w:left="400" w:right="6440"/>
        <w:jc w:val="both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3) l’appalto non può essere aggiudicato senza preventive negoziazioni a causa di circostanze particolari in relazione alla natura, complessità o impostazione finanziaria e giuridica dell’oggetto dell’appalto o a causa dei rischi a esso connessi;</w:t>
      </w:r>
    </w:p>
    <w:p w:rsidR="002F503E" w:rsidRDefault="002F503E">
      <w:pPr>
        <w:spacing w:line="44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1"/>
          <w:numId w:val="5"/>
        </w:numPr>
        <w:tabs>
          <w:tab w:val="left" w:pos="701"/>
        </w:tabs>
        <w:spacing w:line="254" w:lineRule="auto"/>
        <w:ind w:left="400" w:right="6440" w:hanging="1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le specifiche tecniche non possono essere stabilite con sufficiente precisione dall’amministrazione aggiudicatrice con riferimento a una norma, una valutazione tecnica europea, una specifica tecnica comune o un riferimento tecnico ai sensi dei punti da 2 a 5 dell’allegato XIII;</w:t>
      </w:r>
    </w:p>
    <w:p w:rsidR="002F503E" w:rsidRDefault="002F503E">
      <w:pPr>
        <w:spacing w:line="77" w:lineRule="exact"/>
        <w:rPr>
          <w:rFonts w:ascii="Arial" w:eastAsia="Arial" w:hAnsi="Arial"/>
          <w:b/>
        </w:rPr>
      </w:pPr>
    </w:p>
    <w:p w:rsidR="002F503E" w:rsidRDefault="002F503E">
      <w:pPr>
        <w:spacing w:line="280" w:lineRule="auto"/>
        <w:ind w:left="400" w:right="6320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i quali, in esito a una procedura aperta o ristretta, sono state presentate soltanto offerte irregolari o inammissibili (art. 59, comma 2, lettera b).</w:t>
      </w:r>
    </w:p>
    <w:p w:rsidR="002F503E" w:rsidRDefault="002F503E">
      <w:pPr>
        <w:spacing w:line="41" w:lineRule="exact"/>
        <w:rPr>
          <w:rFonts w:ascii="Arial" w:eastAsia="Arial" w:hAnsi="Arial"/>
          <w:b/>
        </w:rPr>
      </w:pPr>
    </w:p>
    <w:p w:rsidR="002F503E" w:rsidRDefault="002F503E">
      <w:pPr>
        <w:spacing w:line="0" w:lineRule="atLeast"/>
        <w:ind w:left="4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Fermo restando quanto previsto all’articolo 83, comma 9, sono </w:t>
      </w:r>
      <w:r>
        <w:rPr>
          <w:rFonts w:ascii="Arial" w:eastAsia="Arial" w:hAnsi="Arial"/>
          <w:b/>
          <w:u w:val="single"/>
        </w:rPr>
        <w:t>considerate irregolari</w:t>
      </w:r>
      <w:r>
        <w:rPr>
          <w:rFonts w:ascii="Arial" w:eastAsia="Arial" w:hAnsi="Arial"/>
          <w:b/>
        </w:rPr>
        <w:t xml:space="preserve"> le</w:t>
      </w:r>
    </w:p>
    <w:tbl>
      <w:tblPr>
        <w:tblW w:w="0" w:type="auto"/>
        <w:tblInd w:w="4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460"/>
        <w:gridCol w:w="5300"/>
      </w:tblGrid>
      <w:tr w:rsidR="002F503E">
        <w:trPr>
          <w:trHeight w:val="271"/>
        </w:trPr>
        <w:tc>
          <w:tcPr>
            <w:tcW w:w="74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offerte (art. 59, comma 3):</w:t>
            </w:r>
          </w:p>
        </w:tc>
        <w:tc>
          <w:tcPr>
            <w:tcW w:w="530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jc w:val="righ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8</w:t>
            </w:r>
          </w:p>
        </w:tc>
      </w:tr>
      <w:tr w:rsidR="002F503E">
        <w:trPr>
          <w:trHeight w:val="1080"/>
        </w:trPr>
        <w:tc>
          <w:tcPr>
            <w:tcW w:w="746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0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2F503E" w:rsidRDefault="002F503E">
      <w:pPr>
        <w:rPr>
          <w:rFonts w:ascii="Times New Roman" w:eastAsia="Times New Roman" w:hAnsi="Times New Roman"/>
          <w:sz w:val="24"/>
        </w:rPr>
        <w:sectPr w:rsidR="002F503E">
          <w:pgSz w:w="16840" w:h="11928" w:orient="landscape"/>
          <w:pgMar w:top="680" w:right="1018" w:bottom="0" w:left="1300" w:header="0" w:footer="0" w:gutter="0"/>
          <w:cols w:space="0" w:equalWidth="0">
            <w:col w:w="14520"/>
          </w:cols>
          <w:docGrid w:linePitch="360"/>
        </w:sect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bookmarkStart w:id="10" w:name="page10"/>
      <w:bookmarkEnd w:id="10"/>
      <w:r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a) che non rispettano i documenti di gara;</w:t>
      </w:r>
    </w:p>
    <w:p w:rsidR="002F503E" w:rsidRDefault="002F503E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</w:rPr>
        <w:pict>
          <v:line id="_x0000_s1046" style="position:absolute;z-index:-251658752" from="461.05pt,6.75pt" to="487.35pt,6.75pt" o:userdrawn="t" strokeweight=".72pt"/>
        </w:pict>
      </w:r>
      <w:r>
        <w:rPr>
          <w:rFonts w:ascii="Arial" w:eastAsia="Arial" w:hAnsi="Arial"/>
          <w:b/>
        </w:rPr>
        <w:pict>
          <v:line id="_x0000_s1047" style="position:absolute;z-index:-251657728" from="487pt,-11.1pt" to="487pt,7.1pt" o:userdrawn="t" strokeweight=".72pt"/>
        </w:pict>
      </w:r>
      <w:r>
        <w:rPr>
          <w:rFonts w:ascii="Arial" w:eastAsia="Arial" w:hAnsi="Arial"/>
          <w:b/>
        </w:rPr>
        <w:pict>
          <v:line id="_x0000_s1048" style="position:absolute;z-index:-251656704" from="461.05pt,-10.75pt" to="487.35pt,-10.75pt" o:userdrawn="t" strokeweight=".72pt"/>
        </w:pict>
      </w:r>
      <w:r>
        <w:rPr>
          <w:rFonts w:ascii="Arial" w:eastAsia="Arial" w:hAnsi="Arial"/>
          <w:b/>
        </w:rPr>
        <w:pict>
          <v:line id="_x0000_s1049" style="position:absolute;z-index:-251655680" from="461.4pt,-11.1pt" to="461.4pt,7.1pt" o:userdrawn="t" strokeweight=".72pt"/>
        </w:pict>
      </w:r>
    </w:p>
    <w:p w:rsidR="002F503E" w:rsidRDefault="002F503E">
      <w:pPr>
        <w:spacing w:line="1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280" w:right="589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b) che sono state ricevute in ritardo rispetto ai termini indicati nel bando o nell’invito con cui si indice la gara;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-267335</wp:posOffset>
            </wp:positionV>
            <wp:extent cx="6805930" cy="5822950"/>
            <wp:effectExtent l="19050" t="0" r="0" b="0"/>
            <wp:wrapNone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930" cy="582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1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c) che l’amministrazione aggiudicatrice ha giudicato anormalmente basse.</w:t>
      </w:r>
    </w:p>
    <w:p w:rsidR="002F503E" w:rsidRDefault="002F503E">
      <w:pPr>
        <w:spacing w:line="24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Sono </w:t>
      </w:r>
      <w:r>
        <w:rPr>
          <w:rFonts w:ascii="Arial" w:eastAsia="Arial" w:hAnsi="Arial"/>
          <w:b/>
          <w:u w:val="single"/>
        </w:rPr>
        <w:t>considerate inammissibili</w:t>
      </w:r>
      <w:r>
        <w:rPr>
          <w:rFonts w:ascii="Arial" w:eastAsia="Arial" w:hAnsi="Arial"/>
          <w:b/>
        </w:rPr>
        <w:t xml:space="preserve"> le offerte (art. 59, comma 4):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6"/>
        </w:numPr>
        <w:tabs>
          <w:tab w:val="left" w:pos="533"/>
        </w:tabs>
        <w:spacing w:line="335" w:lineRule="auto"/>
        <w:ind w:left="280" w:right="589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in relazione alle quali la commissione giudicatrice ritenga sussistenti gli estremi per informativa alla Procura della Repubblica per reati di corruzione o fenomeni collusivi;</w:t>
      </w:r>
    </w:p>
    <w:p w:rsidR="002F503E" w:rsidRDefault="002F503E">
      <w:pPr>
        <w:spacing w:line="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b) che non hanno la qualificazione necessaria;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7"/>
        </w:numPr>
        <w:tabs>
          <w:tab w:val="left" w:pos="546"/>
        </w:tabs>
        <w:spacing w:line="283" w:lineRule="auto"/>
        <w:ind w:left="280" w:right="589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il cui prezzo supera l’importo posto dall’amministrazione aggiudicatrice a base di gara, stabilito e documentato prima dell’avvio della procedura di appalto.</w:t>
      </w:r>
    </w:p>
    <w:p w:rsidR="002F503E" w:rsidRDefault="002F503E">
      <w:pPr>
        <w:spacing w:line="3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50" w:lineRule="auto"/>
        <w:ind w:left="280" w:right="589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tali situazioni, le amministrazioni aggiudicatrici non sono tenute a pubblicare un bando di gara se includono nella ulteriore procedura tutti, e soltanto, gli offerenti in possesso dei requisiti di cui agli articoli dal 80 al 90 che, nella procedura aperta o ristretta precedente, hanno presentato offerte conformi ai requisiti formali della procedura di appalto.</w:t>
      </w:r>
    </w:p>
    <w:p w:rsidR="002F503E" w:rsidRDefault="002F503E">
      <w:pPr>
        <w:spacing w:line="386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98" w:lineRule="auto"/>
        <w:ind w:right="589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negoziata senza previa pubblicazione di un bando di gara (art. 63), consentita nei seguenti casi (con motivazione):</w:t>
      </w:r>
    </w:p>
    <w:p w:rsidR="002F503E" w:rsidRDefault="002F503E">
      <w:pPr>
        <w:spacing w:line="223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1" w:lineRule="auto"/>
        <w:ind w:left="280" w:right="587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qualora non sia stata presentata alcuna offerta o alcuna offerta appropriata, né alcuna domanda di partecipazione o alcuna domanda di partecipazione appropriata, in esito all’esperimento di una procedura aperta o ristretta (art. 63, comma 2, lettera a)</w:t>
      </w:r>
    </w:p>
    <w:p w:rsidR="002F503E" w:rsidRDefault="002F503E">
      <w:pPr>
        <w:spacing w:line="53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quando le forniture possono essere fornite unicamente da un determinato operatore economico per una delle seguenti ragioni (art. 63, comma 2, lettera b):</w:t>
      </w:r>
    </w:p>
    <w:p w:rsidR="002F503E" w:rsidRDefault="002F503E">
      <w:pPr>
        <w:spacing w:line="38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9"/>
        </w:numPr>
        <w:tabs>
          <w:tab w:val="left" w:pos="525"/>
        </w:tabs>
        <w:spacing w:line="280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lo scopo dell’appalto consiste nella creazione o nell’acquisizione di un’opera d’arte o rappresentazione artistica unica;</w:t>
      </w:r>
    </w:p>
    <w:p w:rsidR="002F503E" w:rsidRDefault="002F503E">
      <w:pPr>
        <w:spacing w:line="4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la concorrenza è assente per motivi tecnici;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3) la tutela di diritti esclusivi, inclusi i diritti di proprietà intellettuale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67" w:lineRule="auto"/>
        <w:ind w:left="280" w:right="5878" w:hanging="1"/>
        <w:jc w:val="right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nella misura strettamente necessaria quando, per ragioni di estrema urgenza derivante da eventi imprevedibili dall’amministrazione aggiudicatrice, i termini per le procedure</w:t>
      </w:r>
    </w:p>
    <w:tbl>
      <w:tblPr>
        <w:tblW w:w="0" w:type="auto"/>
        <w:tblInd w:w="28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920"/>
        <w:gridCol w:w="520"/>
        <w:gridCol w:w="3320"/>
      </w:tblGrid>
      <w:tr w:rsidR="002F503E">
        <w:trPr>
          <w:trHeight w:val="208"/>
        </w:trPr>
        <w:tc>
          <w:tcPr>
            <w:tcW w:w="8920" w:type="dxa"/>
            <w:shd w:val="clear" w:color="auto" w:fill="auto"/>
            <w:vAlign w:val="bottom"/>
          </w:tcPr>
          <w:p w:rsidR="002F503E" w:rsidRDefault="002F503E">
            <w:pPr>
              <w:spacing w:line="20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aperte o per le procedure ristrette o per le procedure competitive con negoziazione non</w:t>
            </w:r>
          </w:p>
        </w:tc>
        <w:tc>
          <w:tcPr>
            <w:tcW w:w="520" w:type="dxa"/>
            <w:vMerge w:val="restart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32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jc w:val="righ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9</w:t>
            </w:r>
          </w:p>
        </w:tc>
      </w:tr>
      <w:tr w:rsidR="002F503E">
        <w:trPr>
          <w:trHeight w:val="230"/>
        </w:trPr>
        <w:tc>
          <w:tcPr>
            <w:tcW w:w="892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possono essere rispettati (art. 63, comma 2, lettera c)</w:t>
            </w:r>
          </w:p>
        </w:tc>
        <w:tc>
          <w:tcPr>
            <w:tcW w:w="52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32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F503E">
        <w:trPr>
          <w:trHeight w:val="64"/>
        </w:trPr>
        <w:tc>
          <w:tcPr>
            <w:tcW w:w="892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2F503E" w:rsidRDefault="002F503E">
      <w:pPr>
        <w:rPr>
          <w:rFonts w:ascii="Times New Roman" w:eastAsia="Times New Roman" w:hAnsi="Times New Roman"/>
          <w:sz w:val="5"/>
        </w:rPr>
        <w:sectPr w:rsidR="002F503E">
          <w:pgSz w:w="16840" w:h="11906" w:orient="landscape"/>
          <w:pgMar w:top="680" w:right="1440" w:bottom="591" w:left="1420" w:header="0" w:footer="0" w:gutter="0"/>
          <w:cols w:space="0" w:equalWidth="0">
            <w:col w:w="13978"/>
          </w:cols>
          <w:docGrid w:linePitch="360"/>
        </w:sect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bookmarkStart w:id="11" w:name="page11"/>
      <w:bookmarkEnd w:id="11"/>
      <w:r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135255</wp:posOffset>
            </wp:positionV>
            <wp:extent cx="6805930" cy="5573395"/>
            <wp:effectExtent l="19050" t="0" r="0" b="0"/>
            <wp:wrapNone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930" cy="5573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31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53" w:lineRule="auto"/>
        <w:ind w:left="280" w:right="585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qualora i prodotti oggetto dell’appalto siano fabbricati esclusivamente a scopo di ricerca, di sperimentazione, di studio o di sviluppo, salvo che non si tratti di produzione in quantità volta ad accertare la redditività commerciale del prodotto o ad ammortizzare i costi di ricerca e di sviluppo (art. 63, comma 3, lettera a)</w:t>
      </w:r>
    </w:p>
    <w:p w:rsidR="002F503E" w:rsidRDefault="002F503E">
      <w:pPr>
        <w:spacing w:line="79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47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nel caso di consegne complementari effettuate dal fornitore originario e destinate al rinnovo parziale di forniture o di impianti o all’ampliamento di forniture o impianti esistenti, qualora il cambiamento di fornitore obblighi l’amministrazione aggiudicatrice ad acquistare forniture con caratteristiche tecniche differenti, il cui impiego o la cui manutenzione comporterebbero incompatibilità o difficoltà tecniche sproporzionate; la durata di tali contratti e dei contratti rinnovabili non può comunque di regola superare i tre anni (art. 63, comma 3, lettera b)</w:t>
      </w:r>
    </w:p>
    <w:p w:rsidR="002F503E" w:rsidRDefault="002F503E">
      <w:pPr>
        <w:spacing w:line="83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280" w:right="585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forniture quotate e acquistate sul mercato delle materie prime (art. 63, comma 3, lettera c)</w:t>
      </w:r>
    </w:p>
    <w:p w:rsidR="002F503E" w:rsidRDefault="002F503E">
      <w:pPr>
        <w:spacing w:line="4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61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l’acquisto di forniture o servizi a condizioni particolarmente vantaggiose, da un fornitore che cessa definitivamente l’attività commerciale oppure dagli organi delle procedure concorsuali (art. 63, comma 3, lettera d)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75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negoziata semplificata sotto soglia (con motivazione):</w:t>
      </w:r>
    </w:p>
    <w:p w:rsidR="002F503E" w:rsidRDefault="002F503E">
      <w:pPr>
        <w:spacing w:line="28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forniture di importo inferiore a 40.000 euro, mediante affidamento diretto (art. 36, comma 2, lettera a)</w:t>
      </w:r>
    </w:p>
    <w:p w:rsidR="002F503E" w:rsidRDefault="002F503E">
      <w:pPr>
        <w:spacing w:line="11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67" w:lineRule="auto"/>
        <w:ind w:left="280" w:right="585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per forniture di importo pari o superiore a 40.000 euro e inferiore alla soglia massima di Euro 135.000 – se la stazione appaltante è un’amministrazione centrale (Presidenza del Consiglio dei Ministri, Ministeri e Consip) – ovvero inferiore alla soglia massima di Euro 209.000 – per le amministrazioni aggiudicatrici non governative, mediante procedura negoziata (art. 36, comma 2, lettera b) (cinque inviti).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6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10</w:t>
      </w: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  <w:sectPr w:rsidR="002F503E">
          <w:pgSz w:w="16840" w:h="11906" w:orient="landscape"/>
          <w:pgMar w:top="680" w:right="1440" w:bottom="675" w:left="1420" w:header="0" w:footer="0" w:gutter="0"/>
          <w:cols w:space="0" w:equalWidth="0">
            <w:col w:w="13978"/>
          </w:cols>
          <w:docGrid w:linePitch="360"/>
        </w:sect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bookmarkStart w:id="12" w:name="page12"/>
      <w:bookmarkEnd w:id="12"/>
      <w:r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-73660</wp:posOffset>
            </wp:positionH>
            <wp:positionV relativeFrom="paragraph">
              <wp:posOffset>688340</wp:posOffset>
            </wp:positionV>
            <wp:extent cx="6800215" cy="5020310"/>
            <wp:effectExtent l="19050" t="0" r="635" b="0"/>
            <wp:wrapNone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215" cy="502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6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E2. AFFIDAMENTO DI LAVORI</w:t>
      </w:r>
    </w:p>
    <w:p w:rsidR="002F503E" w:rsidRDefault="002F503E">
      <w:pPr>
        <w:spacing w:line="245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t>Procedure Utilizzabili</w:t>
      </w:r>
    </w:p>
    <w:p w:rsidR="002F503E" w:rsidRDefault="002F503E">
      <w:pPr>
        <w:spacing w:line="28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aperta (art. 60) (procedura ordinaria)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13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ristretta (art. 61) (procedura ordinaria)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95" w:lineRule="auto"/>
        <w:ind w:right="6018"/>
        <w:rPr>
          <w:rFonts w:ascii="Arial" w:eastAsia="Arial" w:hAnsi="Arial"/>
          <w:b/>
        </w:rPr>
      </w:pPr>
      <w:r>
        <w:rPr>
          <w:rFonts w:ascii="Arial" w:eastAsia="Arial" w:hAnsi="Arial"/>
          <w:b/>
          <w:highlight w:val="white"/>
        </w:rPr>
        <w:t xml:space="preserve">Procedura competitiva con negoziazione (art. 62), consentita nei seguenti casi (con </w:t>
      </w:r>
      <w:r>
        <w:rPr>
          <w:rFonts w:ascii="Arial" w:eastAsia="Arial" w:hAnsi="Arial"/>
          <w:b/>
        </w:rPr>
        <w:t>motivazione):</w:t>
      </w:r>
    </w:p>
    <w:p w:rsidR="002F503E" w:rsidRDefault="002F503E">
      <w:pPr>
        <w:spacing w:line="99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presenza di una o più delle seguenti condizioni (art. 59, comma 2, lettera a):</w:t>
      </w:r>
    </w:p>
    <w:p w:rsidR="002F503E" w:rsidRDefault="002F503E">
      <w:pPr>
        <w:spacing w:line="118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1"/>
          <w:numId w:val="13"/>
        </w:numPr>
        <w:tabs>
          <w:tab w:val="left" w:pos="605"/>
        </w:tabs>
        <w:spacing w:line="310" w:lineRule="auto"/>
        <w:ind w:left="280" w:right="601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le esigenze dell’amministrazione aggiudicatrice perseguite con l’appalto non possono essere soddisfatte senza adattare soluzioni immediatamente disponibili;</w:t>
      </w:r>
    </w:p>
    <w:p w:rsidR="002F503E" w:rsidRDefault="002F503E">
      <w:pPr>
        <w:spacing w:line="16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implicano progettazione o soluzioni innovative;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1" w:lineRule="auto"/>
        <w:ind w:left="280" w:right="6018"/>
        <w:jc w:val="both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3) l’appalto non può essere aggiudicato senza preventive negoziazioni a causa di circostanze particolari in relazione alla natura, complessità o impostazione finanziaria e giuridica dell’oggetto dell’appalto o a causa dei rischi a esso connessi;</w:t>
      </w:r>
    </w:p>
    <w:p w:rsidR="002F503E" w:rsidRDefault="002F503E">
      <w:pPr>
        <w:spacing w:line="4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54" w:lineRule="auto"/>
        <w:ind w:left="280" w:right="601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4) le specifiche tecniche non possono essere stabilite con sufficiente precisione dall’amministrazione aggiudicatrice con riferimento a una norma, una valutazione tecnica europea, una specifica tecnica comune o un riferimento tecnico ai sensi dei punti da 2 a 5 dell’allegato XIII;</w:t>
      </w:r>
    </w:p>
    <w:p w:rsidR="002F503E" w:rsidRDefault="002F503E">
      <w:pPr>
        <w:spacing w:line="198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260"/>
        </w:tabs>
        <w:spacing w:line="283" w:lineRule="auto"/>
        <w:ind w:left="280" w:right="5898" w:hanging="279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 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per i quali, in esito a una procedura aperta o ristretta, sono state presentate soltanto offerte irregolari o inammissibili (art. 59, comma 2, lettera b).</w:t>
      </w:r>
    </w:p>
    <w:p w:rsidR="002F503E" w:rsidRDefault="002F503E">
      <w:pPr>
        <w:spacing w:line="156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280" w:right="589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Fermo restando quanto previsto all’articolo 83, comma 9, sono </w:t>
      </w:r>
      <w:r>
        <w:rPr>
          <w:rFonts w:ascii="Arial" w:eastAsia="Arial" w:hAnsi="Arial"/>
          <w:b/>
          <w:u w:val="single"/>
        </w:rPr>
        <w:t>considerate irregolari</w:t>
      </w:r>
      <w:r>
        <w:rPr>
          <w:rFonts w:ascii="Arial" w:eastAsia="Arial" w:hAnsi="Arial"/>
          <w:b/>
        </w:rPr>
        <w:t xml:space="preserve"> le offerte (art. 59, comma 3):</w:t>
      </w:r>
    </w:p>
    <w:p w:rsidR="002F503E" w:rsidRDefault="002F503E">
      <w:pPr>
        <w:spacing w:line="1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a) che non rispettano i documenti di gara;</w:t>
      </w:r>
    </w:p>
    <w:p w:rsidR="002F503E" w:rsidRDefault="002F503E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</w:rPr>
        <w:pict>
          <v:line id="_x0000_s1053" style="position:absolute;z-index:-251651584" from="475.35pt,-7.7pt" to="475.35pt,10.6pt" o:userdrawn="t" strokeweight=".72pt"/>
        </w:pict>
      </w:r>
      <w:r>
        <w:rPr>
          <w:rFonts w:ascii="Arial" w:eastAsia="Arial" w:hAnsi="Arial"/>
          <w:b/>
        </w:rPr>
        <w:pict>
          <v:line id="_x0000_s1054" style="position:absolute;z-index:-251650560" from="449.8pt,-7.7pt" to="449.8pt,10.6pt" o:userdrawn="t" strokeweight=".72pt"/>
        </w:pict>
      </w:r>
      <w:r>
        <w:rPr>
          <w:rFonts w:ascii="Arial" w:eastAsia="Arial" w:hAnsi="Arial"/>
          <w:b/>
        </w:rPr>
        <w:pict>
          <v:line id="_x0000_s1055" style="position:absolute;z-index:-251649536" from="449.4pt,-7.35pt" to="475.7pt,-7.35pt" o:userdrawn="t" strokeweight=".72pt"/>
        </w:pict>
      </w:r>
      <w:r>
        <w:rPr>
          <w:rFonts w:ascii="Arial" w:eastAsia="Arial" w:hAnsi="Arial"/>
          <w:b/>
        </w:rPr>
        <w:pict>
          <v:line id="_x0000_s1056" style="position:absolute;z-index:-251648512" from="449.4pt,10.25pt" to="475.7pt,10.25pt" o:userdrawn="t" strokeweight=".72pt"/>
        </w:pict>
      </w: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11</w:t>
      </w: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  <w:sectPr w:rsidR="002F503E">
          <w:pgSz w:w="16840" w:h="11906" w:orient="landscape"/>
          <w:pgMar w:top="680" w:right="1440" w:bottom="675" w:left="1420" w:header="0" w:footer="0" w:gutter="0"/>
          <w:cols w:space="0" w:equalWidth="0">
            <w:col w:w="13978"/>
          </w:cols>
          <w:docGrid w:linePitch="360"/>
        </w:sect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bookmarkStart w:id="13" w:name="page13"/>
      <w:bookmarkEnd w:id="13"/>
      <w:r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14"/>
        </w:numPr>
        <w:tabs>
          <w:tab w:val="left" w:pos="517"/>
        </w:tabs>
        <w:spacing w:line="283" w:lineRule="auto"/>
        <w:ind w:left="280" w:right="589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che sono state ricevute in ritardo rispetto ai termini indicati nel bando o nell’invito con cui si indice la gara;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-160655</wp:posOffset>
            </wp:positionV>
            <wp:extent cx="6805930" cy="5398135"/>
            <wp:effectExtent l="19050" t="0" r="0" b="0"/>
            <wp:wrapNone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930" cy="539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1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c) che l’amministrazione aggiudicatrice ha giudicato anormalmente basse.</w:t>
      </w:r>
    </w:p>
    <w:p w:rsidR="002F503E" w:rsidRDefault="002F503E">
      <w:pPr>
        <w:spacing w:line="24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Sono </w:t>
      </w:r>
      <w:r>
        <w:rPr>
          <w:rFonts w:ascii="Arial" w:eastAsia="Arial" w:hAnsi="Arial"/>
          <w:b/>
          <w:u w:val="single"/>
        </w:rPr>
        <w:t>considerate inammissibili</w:t>
      </w:r>
      <w:r>
        <w:rPr>
          <w:rFonts w:ascii="Arial" w:eastAsia="Arial" w:hAnsi="Arial"/>
          <w:b/>
        </w:rPr>
        <w:t xml:space="preserve"> le offerte (art. 59, comma 4):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15"/>
        </w:numPr>
        <w:tabs>
          <w:tab w:val="left" w:pos="533"/>
        </w:tabs>
        <w:spacing w:line="335" w:lineRule="auto"/>
        <w:ind w:left="280" w:right="589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in relazione alle quali la commissione giudicatrice ritenga sussistenti gli estremi per informativa alla Procura della Repubblica per reati di corruzione o fenomeni collusivi;</w:t>
      </w:r>
    </w:p>
    <w:p w:rsidR="002F503E" w:rsidRDefault="002F503E">
      <w:pPr>
        <w:spacing w:line="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b) che non hanno la qualificazione necessaria;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16"/>
        </w:numPr>
        <w:tabs>
          <w:tab w:val="left" w:pos="546"/>
        </w:tabs>
        <w:spacing w:line="283" w:lineRule="auto"/>
        <w:ind w:left="280" w:right="589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il cui prezzo supera l’importo posto dall’amministrazione aggiudicatrice a base di gara, stabilito e documentato prima dell’avvio della procedura di appalto.</w:t>
      </w:r>
    </w:p>
    <w:p w:rsidR="002F503E" w:rsidRDefault="002F503E">
      <w:pPr>
        <w:spacing w:line="3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50" w:lineRule="auto"/>
        <w:ind w:left="280" w:right="589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tali situazioni, le amministrazioni aggiudicatrici non sono tenute a pubblicare un bando di gara se includono nella ulteriore procedura tutti, e soltanto, gli offerenti in possesso dei requisiti di cui agli articoli dal 80 al 90 che, nella procedura aperta o ristretta precedente, hanno presentato offerte conformi ai requisiti formali della procedura di appalto.</w:t>
      </w:r>
    </w:p>
    <w:p w:rsidR="002F503E" w:rsidRDefault="002F503E">
      <w:pPr>
        <w:spacing w:line="307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98" w:lineRule="auto"/>
        <w:ind w:right="6038"/>
        <w:rPr>
          <w:rFonts w:ascii="Arial" w:eastAsia="Arial" w:hAnsi="Arial"/>
          <w:b/>
        </w:rPr>
      </w:pPr>
      <w:r>
        <w:rPr>
          <w:rFonts w:ascii="Arial" w:eastAsia="Arial" w:hAnsi="Arial"/>
          <w:b/>
          <w:highlight w:val="white"/>
        </w:rPr>
        <w:t xml:space="preserve">Procedura negoziata senza previa pubblicazione di un bando di gara (art. 63), </w:t>
      </w:r>
      <w:r>
        <w:rPr>
          <w:rFonts w:ascii="Arial" w:eastAsia="Arial" w:hAnsi="Arial"/>
          <w:b/>
        </w:rPr>
        <w:t>consentita nei seguenti casi (con motivazione):</w:t>
      </w:r>
    </w:p>
    <w:p w:rsidR="002F503E" w:rsidRDefault="002F503E">
      <w:pPr>
        <w:spacing w:line="223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04" w:lineRule="auto"/>
        <w:ind w:left="280" w:right="601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qualora non sia stata presentata alcuna offerta o alcuna offerta appropriata, né alcuna domanda di partecipazione o alcuna domanda di partecipazione appropriata, in esito all’esperimento di una procedura aperta o ristretta (art. 63, comma 2, lettera a)</w:t>
      </w:r>
    </w:p>
    <w:p w:rsidR="002F503E" w:rsidRDefault="002F503E">
      <w:pPr>
        <w:spacing w:line="3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quando i lavori possono essere forniti unicamente da un determinato operatore economico per una delle seguenti ragioni (art. 63, comma 2, lettera b):</w:t>
      </w:r>
    </w:p>
    <w:p w:rsidR="002F503E" w:rsidRDefault="002F503E">
      <w:pPr>
        <w:spacing w:line="36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280" w:right="601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1) lo scopo dell’appalto consiste nella creazione o nell’acquisizione di un’opera d’arte o rappresentazione artistica unica;</w:t>
      </w:r>
    </w:p>
    <w:p w:rsidR="002F503E" w:rsidRDefault="002F503E">
      <w:pPr>
        <w:spacing w:line="3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la concorrenza è assente per motivi tecnici;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3) la tutela di diritti esclusivi, inclusi i diritti di proprietà intellettuale</w:t>
      </w:r>
    </w:p>
    <w:p w:rsidR="002F503E" w:rsidRDefault="002F503E">
      <w:pPr>
        <w:spacing w:line="130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780"/>
        <w:gridCol w:w="1140"/>
        <w:gridCol w:w="840"/>
        <w:gridCol w:w="4260"/>
        <w:gridCol w:w="520"/>
        <w:gridCol w:w="3500"/>
      </w:tblGrid>
      <w:tr w:rsidR="002F503E">
        <w:trPr>
          <w:trHeight w:val="106"/>
        </w:trPr>
        <w:tc>
          <w:tcPr>
            <w:tcW w:w="278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nella  misura  strettamente</w:t>
            </w:r>
          </w:p>
        </w:tc>
        <w:tc>
          <w:tcPr>
            <w:tcW w:w="114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necessaria</w:t>
            </w:r>
          </w:p>
        </w:tc>
        <w:tc>
          <w:tcPr>
            <w:tcW w:w="84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jc w:val="center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quando,</w:t>
            </w:r>
          </w:p>
        </w:tc>
        <w:tc>
          <w:tcPr>
            <w:tcW w:w="426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right="980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per  ragioni  di  estrema  urgenza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F503E">
        <w:trPr>
          <w:trHeight w:val="104"/>
        </w:trPr>
        <w:tc>
          <w:tcPr>
            <w:tcW w:w="278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4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4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6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F503E">
        <w:trPr>
          <w:trHeight w:val="229"/>
        </w:trPr>
        <w:tc>
          <w:tcPr>
            <w:tcW w:w="9020" w:type="dxa"/>
            <w:gridSpan w:val="4"/>
            <w:shd w:val="clear" w:color="auto" w:fill="auto"/>
            <w:vAlign w:val="bottom"/>
          </w:tcPr>
          <w:p w:rsidR="002F503E" w:rsidRDefault="002F503E">
            <w:pPr>
              <w:spacing w:line="229" w:lineRule="exact"/>
              <w:ind w:right="980"/>
              <w:jc w:val="righ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derivante da eventi imprevedibili dall’amministrazione aggiudicatrice, i termini per le</w:t>
            </w:r>
          </w:p>
        </w:tc>
        <w:tc>
          <w:tcPr>
            <w:tcW w:w="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F503E">
        <w:trPr>
          <w:trHeight w:val="210"/>
        </w:trPr>
        <w:tc>
          <w:tcPr>
            <w:tcW w:w="9020" w:type="dxa"/>
            <w:gridSpan w:val="4"/>
            <w:shd w:val="clear" w:color="auto" w:fill="auto"/>
            <w:vAlign w:val="bottom"/>
          </w:tcPr>
          <w:p w:rsidR="002F503E" w:rsidRDefault="002F503E">
            <w:pPr>
              <w:spacing w:line="209" w:lineRule="exact"/>
              <w:ind w:right="980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procedure aperte o per le procedure ristrette o per le procedure competitive con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2F503E">
        <w:trPr>
          <w:trHeight w:val="271"/>
        </w:trPr>
        <w:tc>
          <w:tcPr>
            <w:tcW w:w="9020" w:type="dxa"/>
            <w:gridSpan w:val="4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negoziazione non possono essere rispettati (art. 63, comma 2, lettera c)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2F503E">
        <w:trPr>
          <w:trHeight w:val="68"/>
        </w:trPr>
        <w:tc>
          <w:tcPr>
            <w:tcW w:w="9020" w:type="dxa"/>
            <w:gridSpan w:val="4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right="980"/>
              <w:jc w:val="righ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per nuovi lavori consistenti nella ripetizione di lavori analoghi, già affidati all’operatore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2F503E">
        <w:trPr>
          <w:trHeight w:val="222"/>
        </w:trPr>
        <w:tc>
          <w:tcPr>
            <w:tcW w:w="9020" w:type="dxa"/>
            <w:gridSpan w:val="4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F503E">
        <w:trPr>
          <w:trHeight w:val="111"/>
        </w:trPr>
        <w:tc>
          <w:tcPr>
            <w:tcW w:w="278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2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economico  aggiudicatario</w:t>
            </w:r>
          </w:p>
        </w:tc>
        <w:tc>
          <w:tcPr>
            <w:tcW w:w="114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dell’appalto</w:t>
            </w:r>
          </w:p>
        </w:tc>
        <w:tc>
          <w:tcPr>
            <w:tcW w:w="84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jc w:val="center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iniziale</w:t>
            </w:r>
          </w:p>
        </w:tc>
        <w:tc>
          <w:tcPr>
            <w:tcW w:w="426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right="980"/>
              <w:jc w:val="righ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dalle  medesime  amministrazioni</w:t>
            </w:r>
          </w:p>
        </w:tc>
        <w:tc>
          <w:tcPr>
            <w:tcW w:w="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F503E">
        <w:trPr>
          <w:trHeight w:val="99"/>
        </w:trPr>
        <w:tc>
          <w:tcPr>
            <w:tcW w:w="278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4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4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6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20" w:type="dxa"/>
            <w:gridSpan w:val="2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jc w:val="righ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12</w:t>
            </w:r>
          </w:p>
        </w:tc>
      </w:tr>
      <w:tr w:rsidR="002F503E">
        <w:trPr>
          <w:trHeight w:val="230"/>
        </w:trPr>
        <w:tc>
          <w:tcPr>
            <w:tcW w:w="9020" w:type="dxa"/>
            <w:gridSpan w:val="4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ind w:right="980"/>
              <w:jc w:val="right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aggiudicatrici, a condizione che tali lavori siano conformi al progetto a base di gara e</w:t>
            </w:r>
          </w:p>
        </w:tc>
        <w:tc>
          <w:tcPr>
            <w:tcW w:w="4020" w:type="dxa"/>
            <w:gridSpan w:val="2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F503E">
        <w:trPr>
          <w:trHeight w:val="64"/>
        </w:trPr>
        <w:tc>
          <w:tcPr>
            <w:tcW w:w="9020" w:type="dxa"/>
            <w:gridSpan w:val="4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50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2F503E" w:rsidRDefault="002F503E">
      <w:pPr>
        <w:rPr>
          <w:rFonts w:ascii="Times New Roman" w:eastAsia="Times New Roman" w:hAnsi="Times New Roman"/>
          <w:sz w:val="5"/>
        </w:rPr>
        <w:sectPr w:rsidR="002F503E">
          <w:pgSz w:w="16840" w:h="11906" w:orient="landscape"/>
          <w:pgMar w:top="680" w:right="1440" w:bottom="560" w:left="1420" w:header="0" w:footer="0" w:gutter="0"/>
          <w:cols w:space="0" w:equalWidth="0">
            <w:col w:w="13978"/>
          </w:cols>
          <w:docGrid w:linePitch="360"/>
        </w:sect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bookmarkStart w:id="14" w:name="page14"/>
      <w:bookmarkEnd w:id="14"/>
      <w:r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280" w:right="603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che tale progetto sia stato oggetto di un primo appalto aggiudicato secondo una procedura di cui all’articolo 59, comma 1 (art. 63, comma 5)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216535</wp:posOffset>
            </wp:positionV>
            <wp:extent cx="6805930" cy="5020310"/>
            <wp:effectExtent l="19050" t="0" r="0" b="0"/>
            <wp:wrapNone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930" cy="502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5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negoziata semplificata sotto soglia (con motivazione):</w:t>
      </w:r>
    </w:p>
    <w:p w:rsidR="002F503E" w:rsidRDefault="002F503E">
      <w:pPr>
        <w:spacing w:line="28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lavori di importo inferiore a 40.000 euro, mediante affidamento diretto (art. 36, comma 2, lettera a)</w:t>
      </w:r>
    </w:p>
    <w:p w:rsidR="002F503E" w:rsidRDefault="002F503E">
      <w:pPr>
        <w:spacing w:line="115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lavori di importo pari o superiore a 40.000 euro e inferiore a 150.000 euro, mediante procedura negoziata (art. 36, comma 2, lettera b) (dieci inviti)</w:t>
      </w:r>
    </w:p>
    <w:p w:rsidR="002F503E" w:rsidRDefault="002F503E">
      <w:pPr>
        <w:spacing w:line="4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0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lavori di importo pari o superiore a 150.000 euro e inferiore a 1.000.000 di euro, mediante procedura negoziata (art. 36, comma 2, lettera c) (quindici inviti)</w:t>
      </w:r>
    </w:p>
    <w:p w:rsidR="002F503E" w:rsidRDefault="002F503E">
      <w:pPr>
        <w:spacing w:line="5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61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lavori eseguiti in amministrazione diretta, di importo inferiore a 150.000 euro, fatto salvo l’acquisto e il noleggio di mezzi, per i quali si applica comunque la procedura negoziata semplificata (art. 36, comma 2, lettere a-b)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7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13</w:t>
      </w: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  <w:sectPr w:rsidR="002F503E">
          <w:pgSz w:w="16840" w:h="11906" w:orient="landscape"/>
          <w:pgMar w:top="680" w:right="1440" w:bottom="675" w:left="1420" w:header="0" w:footer="0" w:gutter="0"/>
          <w:cols w:space="0" w:equalWidth="0">
            <w:col w:w="13978"/>
          </w:cols>
          <w:docGrid w:linePitch="360"/>
        </w:sect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bookmarkStart w:id="15" w:name="page15"/>
      <w:bookmarkEnd w:id="15"/>
      <w:r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7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E3 - AFFIDAMENTO DI SERVIZI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24"/>
          <w:u w:val="single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-73660</wp:posOffset>
            </wp:positionH>
            <wp:positionV relativeFrom="paragraph">
              <wp:posOffset>87630</wp:posOffset>
            </wp:positionV>
            <wp:extent cx="7421880" cy="5562600"/>
            <wp:effectExtent l="19050" t="0" r="7620" b="0"/>
            <wp:wrapNone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880" cy="55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18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t>Procedure Utilizzabili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1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aperta (art. 60) (procedura ordinaria)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6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ristretta (art. 61) (procedura ordinaria)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09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98" w:lineRule="auto"/>
        <w:ind w:right="615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Procedura </w:t>
      </w:r>
      <w:r>
        <w:rPr>
          <w:rFonts w:ascii="Arial" w:eastAsia="Arial" w:hAnsi="Arial"/>
          <w:b/>
          <w:highlight w:val="white"/>
        </w:rPr>
        <w:t>competitiva con negoziazione</w:t>
      </w:r>
      <w:r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  <w:highlight w:val="white"/>
        </w:rPr>
        <w:t>(art. 62), consentita nei seguenti casi (con</w:t>
      </w:r>
      <w:r>
        <w:rPr>
          <w:rFonts w:ascii="Arial" w:eastAsia="Arial" w:hAnsi="Arial"/>
          <w:b/>
        </w:rPr>
        <w:t xml:space="preserve"> motivazione):</w:t>
      </w:r>
    </w:p>
    <w:p w:rsidR="002F503E" w:rsidRDefault="002F503E">
      <w:pPr>
        <w:spacing w:line="9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presenza di una o più delle seguenti condizioni (art. 59, comma 2, lettera a):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1"/>
          <w:numId w:val="19"/>
        </w:numPr>
        <w:tabs>
          <w:tab w:val="left" w:pos="693"/>
        </w:tabs>
        <w:spacing w:line="310" w:lineRule="auto"/>
        <w:ind w:left="400" w:right="6158" w:hanging="6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le esigenze dell’amministrazione aggiudicatrice perseguite con l’appalto non possono essere soddisfatte senza adattare soluzioni immediatamente disponibili;</w:t>
      </w:r>
    </w:p>
    <w:p w:rsidR="002F503E" w:rsidRDefault="002F503E">
      <w:pPr>
        <w:spacing w:line="16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4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implicano progettazione o soluzioni innovative;</w:t>
      </w:r>
    </w:p>
    <w:p w:rsidR="002F503E" w:rsidRDefault="002F503E">
      <w:pPr>
        <w:spacing w:line="11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04" w:lineRule="auto"/>
        <w:ind w:left="400" w:right="6158"/>
        <w:jc w:val="both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3) l’appalto non può essere aggiudicato senza preventive negoziazioni a causa di circostanze particolari in relazione alla natura, complessità o impostazione finanziaria e giuridica dell’oggetto dell’appalto o a causa dei rischi a esso connessi;</w:t>
      </w:r>
    </w:p>
    <w:p w:rsidR="002F503E" w:rsidRDefault="002F503E">
      <w:pPr>
        <w:spacing w:line="25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1"/>
          <w:numId w:val="20"/>
        </w:numPr>
        <w:tabs>
          <w:tab w:val="left" w:pos="673"/>
        </w:tabs>
        <w:spacing w:line="253" w:lineRule="auto"/>
        <w:ind w:left="400" w:right="6158" w:hanging="6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le specifiche tecniche non possono essere stabilite con sufficiente precisione dall’amministrazione aggiudicatrice con riferimento a una norma, una valutazione tecnica europea, una specifica tecnica comune o un riferimento tecnico ai sensi dei punti da 2 a 5 dell’allegato XIII;</w:t>
      </w:r>
    </w:p>
    <w:p w:rsidR="002F503E" w:rsidRDefault="002F503E">
      <w:pPr>
        <w:spacing w:line="79" w:lineRule="exact"/>
        <w:rPr>
          <w:rFonts w:ascii="Arial" w:eastAsia="Arial" w:hAnsi="Arial"/>
          <w:b/>
        </w:rPr>
      </w:pPr>
    </w:p>
    <w:p w:rsidR="002F503E" w:rsidRDefault="002F503E">
      <w:pPr>
        <w:spacing w:line="283" w:lineRule="auto"/>
        <w:ind w:left="280" w:right="603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i quali, in esito a una procedura aperta o ristretta, sono state presentate soltanto offerte irregolari o inammissibili (art. 59, comma 2, lettera b).</w:t>
      </w:r>
    </w:p>
    <w:p w:rsidR="002F503E" w:rsidRDefault="002F503E">
      <w:pPr>
        <w:spacing w:line="38" w:lineRule="exact"/>
        <w:rPr>
          <w:rFonts w:ascii="Arial" w:eastAsia="Arial" w:hAnsi="Arial"/>
          <w:b/>
        </w:rPr>
      </w:pPr>
    </w:p>
    <w:p w:rsidR="002F503E" w:rsidRDefault="002F503E">
      <w:pPr>
        <w:spacing w:line="283" w:lineRule="auto"/>
        <w:ind w:left="280" w:right="603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Fermo restando quanto previsto all’articolo 83, comma 9, </w:t>
      </w:r>
      <w:r>
        <w:rPr>
          <w:rFonts w:ascii="Arial" w:eastAsia="Arial" w:hAnsi="Arial"/>
          <w:b/>
          <w:u w:val="single"/>
        </w:rPr>
        <w:t>sono considerate irregolari</w:t>
      </w:r>
      <w:r>
        <w:rPr>
          <w:rFonts w:ascii="Arial" w:eastAsia="Arial" w:hAnsi="Arial"/>
          <w:b/>
        </w:rPr>
        <w:t xml:space="preserve"> le offerte (art. 59, comma 3):</w:t>
      </w:r>
    </w:p>
    <w:p w:rsidR="002F503E" w:rsidRDefault="002F503E">
      <w:pPr>
        <w:spacing w:line="3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a) che non rispettano i documenti di gara;</w:t>
      </w:r>
    </w:p>
    <w:p w:rsidR="002F503E" w:rsidRDefault="002F503E">
      <w:pPr>
        <w:spacing w:line="118" w:lineRule="exact"/>
        <w:rPr>
          <w:rFonts w:ascii="Times New Roman" w:eastAsia="Times New Roman" w:hAnsi="Times New Roman"/>
        </w:rPr>
      </w:pPr>
    </w:p>
    <w:tbl>
      <w:tblPr>
        <w:tblW w:w="0" w:type="auto"/>
        <w:tblInd w:w="28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940"/>
        <w:gridCol w:w="540"/>
        <w:gridCol w:w="3280"/>
      </w:tblGrid>
      <w:tr w:rsidR="002F503E">
        <w:trPr>
          <w:trHeight w:val="53"/>
        </w:trPr>
        <w:tc>
          <w:tcPr>
            <w:tcW w:w="894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b) che sono state ricevute in ritardo rispetto ai termini indicati nel bando o nell’invito</w:t>
            </w: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8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jc w:val="righ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14</w:t>
            </w:r>
          </w:p>
        </w:tc>
      </w:tr>
      <w:tr w:rsidR="002F503E">
        <w:trPr>
          <w:trHeight w:val="157"/>
        </w:trPr>
        <w:tc>
          <w:tcPr>
            <w:tcW w:w="894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8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2F503E">
        <w:trPr>
          <w:trHeight w:val="173"/>
        </w:trPr>
        <w:tc>
          <w:tcPr>
            <w:tcW w:w="8940" w:type="dxa"/>
            <w:vMerge w:val="restart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 cui si indice la gara;</w:t>
            </w:r>
          </w:p>
        </w:tc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28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2F503E">
        <w:trPr>
          <w:trHeight w:val="78"/>
        </w:trPr>
        <w:tc>
          <w:tcPr>
            <w:tcW w:w="8940" w:type="dxa"/>
            <w:vMerge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3280" w:type="dxa"/>
            <w:shd w:val="clear" w:color="auto" w:fill="auto"/>
            <w:vAlign w:val="bottom"/>
          </w:tcPr>
          <w:p w:rsidR="002F503E" w:rsidRDefault="002F503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</w:tbl>
    <w:p w:rsidR="002F503E" w:rsidRDefault="002F503E">
      <w:pPr>
        <w:rPr>
          <w:rFonts w:ascii="Times New Roman" w:eastAsia="Times New Roman" w:hAnsi="Times New Roman"/>
          <w:sz w:val="6"/>
        </w:rPr>
        <w:sectPr w:rsidR="002F503E">
          <w:pgSz w:w="16840" w:h="11906" w:orient="landscape"/>
          <w:pgMar w:top="680" w:right="1440" w:bottom="588" w:left="1420" w:header="0" w:footer="0" w:gutter="0"/>
          <w:cols w:space="0" w:equalWidth="0">
            <w:col w:w="13978"/>
          </w:cols>
          <w:docGrid w:linePitch="360"/>
        </w:sect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bookmarkStart w:id="16" w:name="page16"/>
      <w:bookmarkEnd w:id="16"/>
      <w:r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2064" behindDoc="1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135255</wp:posOffset>
            </wp:positionV>
            <wp:extent cx="7428230" cy="5882640"/>
            <wp:effectExtent l="19050" t="0" r="1270" b="0"/>
            <wp:wrapNone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8230" cy="588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31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c) che l’amministrazione aggiudicatrice ha giudicato anormalmente basse.</w:t>
      </w:r>
    </w:p>
    <w:p w:rsidR="002F503E" w:rsidRDefault="002F503E">
      <w:pPr>
        <w:spacing w:line="11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Sono </w:t>
      </w:r>
      <w:r>
        <w:rPr>
          <w:rFonts w:ascii="Arial" w:eastAsia="Arial" w:hAnsi="Arial"/>
          <w:b/>
          <w:u w:val="single"/>
        </w:rPr>
        <w:t>considerate inammissibili</w:t>
      </w:r>
      <w:r>
        <w:rPr>
          <w:rFonts w:ascii="Arial" w:eastAsia="Arial" w:hAnsi="Arial"/>
          <w:b/>
        </w:rPr>
        <w:t xml:space="preserve"> le offerte (art. 59, comma 4):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21"/>
        </w:numPr>
        <w:tabs>
          <w:tab w:val="left" w:pos="519"/>
        </w:tabs>
        <w:spacing w:line="336" w:lineRule="auto"/>
        <w:ind w:left="280" w:right="603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in relazione alle quali la commissione giudicatrice ritenga sussistenti gli estremi per informativa alla Procura della Repubblica per reati di corruzione o fenomeni collusivi;</w:t>
      </w:r>
    </w:p>
    <w:p w:rsidR="002F503E" w:rsidRDefault="002F503E">
      <w:pPr>
        <w:spacing w:line="1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b) che non hanno la qualificazione necessaria;</w:t>
      </w:r>
    </w:p>
    <w:p w:rsidR="002F503E" w:rsidRDefault="002F503E">
      <w:pPr>
        <w:spacing w:line="120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22"/>
        </w:numPr>
        <w:tabs>
          <w:tab w:val="left" w:pos="534"/>
        </w:tabs>
        <w:spacing w:line="310" w:lineRule="auto"/>
        <w:ind w:left="280" w:right="603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il cui prezzo supera l’importo posto dall’amministrazione aggiudicatrice a base di gara, stabilito e documentato prima dell’avvio della procedura di appalto.</w:t>
      </w:r>
    </w:p>
    <w:p w:rsidR="002F503E" w:rsidRDefault="002F503E">
      <w:pPr>
        <w:spacing w:line="1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51" w:lineRule="auto"/>
        <w:ind w:left="280" w:right="603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tali situazioni, le amministrazioni aggiudicatrici non sono tenute a pubblicare un bando di gara se includono nella ulteriore procedura tutti, e soltanto, gli offerenti in possesso dei requisiti di cui agli articoli dal 80 al 90 che, nella procedura aperta o ristretta precedente, hanno presentato offerte conformi ai requisiti formali della procedura di appalto.</w:t>
      </w:r>
    </w:p>
    <w:p w:rsidR="002F503E" w:rsidRDefault="002F503E">
      <w:pPr>
        <w:spacing w:line="305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95" w:lineRule="auto"/>
        <w:ind w:right="599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negoziata senza previa pubblicazione di un bando di gara (art. 63), consentita nei seguenti casi (con motivazione):</w:t>
      </w:r>
    </w:p>
    <w:p w:rsidR="002F503E" w:rsidRDefault="002F503E">
      <w:pPr>
        <w:spacing w:line="229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02" w:lineRule="auto"/>
        <w:ind w:left="400" w:right="593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qualora non sia stata presentata alcuna offerta o alcuna offerta appropriata, né alcuna domanda di partecipazione o alcuna domanda di partecipazione appropriata, in esito all’esperimento di una procedura aperta o ristretta (art. 63, comma 2, lettera a)</w:t>
      </w:r>
    </w:p>
    <w:p w:rsidR="002F503E" w:rsidRDefault="002F503E">
      <w:pPr>
        <w:spacing w:line="37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3" w:lineRule="auto"/>
        <w:ind w:left="400" w:right="593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quando le forniture possono essere fornite unicamente da un determinato operatore economico per una delle seguenti ragioni (art. 63, comma 2, lettera b):</w:t>
      </w:r>
    </w:p>
    <w:p w:rsidR="002F503E" w:rsidRDefault="002F503E">
      <w:pPr>
        <w:spacing w:line="38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24"/>
        </w:numPr>
        <w:tabs>
          <w:tab w:val="left" w:pos="645"/>
        </w:tabs>
        <w:spacing w:line="283" w:lineRule="auto"/>
        <w:ind w:left="400" w:right="5938" w:hanging="6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lo scopo dell’appalto consiste nella creazione o nell’acquisizione di un’opera d’arte o rappresentazione artistica unica;</w:t>
      </w:r>
    </w:p>
    <w:p w:rsidR="002F503E" w:rsidRDefault="002F503E">
      <w:pPr>
        <w:spacing w:line="3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4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la concorrenza è assente per motivi tecnici;</w:t>
      </w:r>
    </w:p>
    <w:p w:rsidR="002F503E" w:rsidRDefault="002F503E">
      <w:pPr>
        <w:spacing w:line="118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left="4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3) la tutela di diritti esclusivi, inclusi i diritti di proprietà intellettuale</w:t>
      </w:r>
    </w:p>
    <w:p w:rsidR="002F503E" w:rsidRDefault="002F503E">
      <w:pPr>
        <w:spacing w:line="25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72" w:lineRule="auto"/>
        <w:ind w:left="400" w:right="593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nella misura strettamente necessaria quando, per ragioni di estrema urgenza derivante da eventi imprevedibili dall’amministrazione aggiudicatrice, i termini per le procedure aperte o per le procedure ristrette o per le procedure competitive con negoziazione non possono essere rispettati (art. 63, comma 2, lettera c)</w:t>
      </w:r>
    </w:p>
    <w:p w:rsidR="002F503E" w:rsidRDefault="002F503E">
      <w:pPr>
        <w:spacing w:line="7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61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qualora l’appalto faccia seguito ad un concorso di progettazione e debba, in base alle norme applicabili, essere aggiudicato al vincitore o ad uno dei vincitori del concorso (art. 63, comma 4)</w:t>
      </w:r>
    </w:p>
    <w:p w:rsidR="002F503E" w:rsidRDefault="002F503E">
      <w:pPr>
        <w:spacing w:line="19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15</w:t>
      </w: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  <w:sectPr w:rsidR="002F503E">
          <w:pgSz w:w="16840" w:h="11906" w:orient="landscape"/>
          <w:pgMar w:top="680" w:right="1440" w:bottom="675" w:left="1420" w:header="0" w:footer="0" w:gutter="0"/>
          <w:cols w:space="0" w:equalWidth="0">
            <w:col w:w="13978"/>
          </w:cols>
          <w:docGrid w:linePitch="360"/>
        </w:sect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bookmarkStart w:id="17" w:name="page17"/>
      <w:bookmarkEnd w:id="17"/>
      <w:r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147320</wp:posOffset>
            </wp:positionV>
            <wp:extent cx="9871075" cy="5561330"/>
            <wp:effectExtent l="19050" t="0" r="0" b="0"/>
            <wp:wrapNone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1075" cy="556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31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5" w:lineRule="auto"/>
        <w:ind w:left="280" w:right="601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per nuovi servizi consistenti nella ripetizione di servizi analoghi, già affidati all’operatore economico aggiudicatario dell’appalto iniziale dalle medesime amministrazioni aggiudicatrici, a condizione che tali servizi siano conformi al progetto a base di gara e che tale progetto sia stato oggetto di un primo appalto aggiudicato secondo una procedura di cui all’articolo 59, comma 1 (art. 63, comma 5)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negoziata semplificata sotto soglia (con motivazione):</w:t>
      </w:r>
    </w:p>
    <w:p w:rsidR="002F503E" w:rsidRDefault="002F503E">
      <w:pPr>
        <w:spacing w:line="337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0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servizi (tutti) di importo inferiore a 40.000 euro, mediante affidamento diretto (art. 36, comma 2, lettera a)</w:t>
      </w:r>
    </w:p>
    <w:p w:rsidR="002F503E" w:rsidRDefault="002F503E">
      <w:pPr>
        <w:spacing w:line="132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85" w:lineRule="auto"/>
        <w:ind w:left="280" w:right="601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per servizi (tranne tecnici) di importo pari o superiore a 40.000 euro e inferiore alla soglia massima di euro 135.000 – se la stazione appaltante è un’amministrazione centrale (Presidenza del Consiglio dei Ministri, Ministeri e Consip) – ovvero alla soglia massima di euro 209.000 – per le amministrazioni aggiudicatrici non governative, mediante procedura negoziata (art. 36, comma 2, lettera b) (cinque inviti)</w:t>
      </w:r>
    </w:p>
    <w:p w:rsidR="002F503E" w:rsidRDefault="002F503E">
      <w:pPr>
        <w:spacing w:line="5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91" w:lineRule="auto"/>
        <w:ind w:left="280" w:right="601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per servizi di progettazione, di coordinamento della sicurezza in fase di progettazione, di direzione dei lavori, di coordinamento della sicurezza in fase di esecuzione e di collaudo di importo pari o superiori a 40.000 euro e inferiore a 100.000 euro, mediante procedura negoziata ex art. 36, comma 2, lettera b) (art. 157, comma 2) (cinque inviti)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315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16</w:t>
      </w: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  <w:sectPr w:rsidR="002F503E">
          <w:pgSz w:w="16840" w:h="11906" w:orient="landscape"/>
          <w:pgMar w:top="680" w:right="1440" w:bottom="675" w:left="1420" w:header="0" w:footer="0" w:gutter="0"/>
          <w:cols w:space="0" w:equalWidth="0">
            <w:col w:w="13978"/>
          </w:cols>
          <w:docGrid w:linePitch="360"/>
        </w:sectPr>
      </w:pPr>
    </w:p>
    <w:p w:rsidR="002F503E" w:rsidRDefault="002F503E">
      <w:pPr>
        <w:spacing w:line="0" w:lineRule="atLeast"/>
        <w:rPr>
          <w:rFonts w:ascii="Arial" w:eastAsia="Arial" w:hAnsi="Arial"/>
          <w:b/>
        </w:rPr>
      </w:pPr>
      <w:bookmarkStart w:id="18" w:name="page18"/>
      <w:bookmarkEnd w:id="18"/>
      <w:r>
        <w:rPr>
          <w:rFonts w:ascii="Arial" w:eastAsia="Arial" w:hAnsi="Arial"/>
          <w:b/>
        </w:rPr>
        <w:lastRenderedPageBreak/>
        <w:t>AGEA – Sviluppo Rurale – checklist per la verifica delle procedure di appalto – vers. 2.3 del 30_01_2018</w:t>
      </w:r>
    </w:p>
    <w:p w:rsidR="002F503E" w:rsidRDefault="002F503E">
      <w:pPr>
        <w:spacing w:line="19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Indice checklist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92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28"/>
        </w:numPr>
        <w:tabs>
          <w:tab w:val="left" w:pos="2120"/>
        </w:tabs>
        <w:spacing w:line="0" w:lineRule="atLeast"/>
        <w:ind w:left="2120" w:hanging="708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- Checklist - PROCEDURA NEGOZIATA SEMPLIFICATA SOTTO SOGLIA (art. 36)</w:t>
      </w:r>
    </w:p>
    <w:p w:rsidR="002F503E" w:rsidRDefault="002F503E">
      <w:pPr>
        <w:spacing w:line="60" w:lineRule="exact"/>
        <w:rPr>
          <w:rFonts w:ascii="Arial" w:eastAsia="Arial" w:hAnsi="Arial"/>
          <w:b/>
          <w:sz w:val="24"/>
        </w:rPr>
      </w:pPr>
    </w:p>
    <w:p w:rsidR="002F503E" w:rsidRDefault="002F503E">
      <w:pPr>
        <w:numPr>
          <w:ilvl w:val="0"/>
          <w:numId w:val="28"/>
        </w:numPr>
        <w:tabs>
          <w:tab w:val="left" w:pos="2120"/>
        </w:tabs>
        <w:spacing w:line="0" w:lineRule="atLeast"/>
        <w:ind w:left="2120" w:hanging="708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- Checklist - PROCEDURA COMPETITIVA CON NEGOZIAZIONE (art. 62)</w:t>
      </w:r>
    </w:p>
    <w:p w:rsidR="002F503E" w:rsidRDefault="002F503E">
      <w:pPr>
        <w:spacing w:line="60" w:lineRule="exact"/>
        <w:rPr>
          <w:rFonts w:ascii="Arial" w:eastAsia="Arial" w:hAnsi="Arial"/>
          <w:b/>
          <w:sz w:val="24"/>
        </w:rPr>
      </w:pPr>
    </w:p>
    <w:p w:rsidR="002F503E" w:rsidRDefault="002F503E">
      <w:pPr>
        <w:numPr>
          <w:ilvl w:val="0"/>
          <w:numId w:val="28"/>
        </w:numPr>
        <w:tabs>
          <w:tab w:val="left" w:pos="2120"/>
        </w:tabs>
        <w:spacing w:line="0" w:lineRule="atLeast"/>
        <w:ind w:left="2120" w:hanging="708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- Checklist - PROCEDURA NEGOZIATA SENZA PUBBLICAZIONE DI BANDO DI GARA (art. 63)</w:t>
      </w:r>
    </w:p>
    <w:p w:rsidR="002F503E" w:rsidRDefault="002F503E">
      <w:pPr>
        <w:spacing w:line="60" w:lineRule="exact"/>
        <w:rPr>
          <w:rFonts w:ascii="Arial" w:eastAsia="Arial" w:hAnsi="Arial"/>
          <w:b/>
          <w:sz w:val="24"/>
        </w:rPr>
      </w:pPr>
    </w:p>
    <w:p w:rsidR="002F503E" w:rsidRDefault="002F503E">
      <w:pPr>
        <w:numPr>
          <w:ilvl w:val="0"/>
          <w:numId w:val="28"/>
        </w:numPr>
        <w:tabs>
          <w:tab w:val="left" w:pos="2120"/>
        </w:tabs>
        <w:spacing w:line="0" w:lineRule="atLeast"/>
        <w:ind w:left="2120" w:hanging="708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- Checklist - PROCEDURA RISTRETTA (art. 61)</w:t>
      </w:r>
    </w:p>
    <w:p w:rsidR="002F503E" w:rsidRDefault="007C3BCC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24"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1784985</wp:posOffset>
            </wp:positionH>
            <wp:positionV relativeFrom="paragraph">
              <wp:posOffset>-734695</wp:posOffset>
            </wp:positionV>
            <wp:extent cx="4940935" cy="5020310"/>
            <wp:effectExtent l="19050" t="0" r="0" b="0"/>
            <wp:wrapNone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35" cy="502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03E" w:rsidRDefault="002F503E">
      <w:pPr>
        <w:spacing w:line="40" w:lineRule="exact"/>
        <w:rPr>
          <w:rFonts w:ascii="Times New Roman" w:eastAsia="Times New Roman" w:hAnsi="Times New Roman"/>
        </w:rPr>
      </w:pPr>
    </w:p>
    <w:p w:rsidR="002F503E" w:rsidRDefault="002F503E">
      <w:pPr>
        <w:numPr>
          <w:ilvl w:val="0"/>
          <w:numId w:val="29"/>
        </w:numPr>
        <w:tabs>
          <w:tab w:val="left" w:pos="2120"/>
        </w:tabs>
        <w:spacing w:line="0" w:lineRule="atLeast"/>
        <w:ind w:left="2120" w:hanging="708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- Checklist - PROCEDURA APERTA (art. 60)</w:t>
      </w:r>
    </w:p>
    <w:p w:rsidR="002F503E" w:rsidRDefault="002F503E">
      <w:pPr>
        <w:spacing w:line="60" w:lineRule="exact"/>
        <w:rPr>
          <w:rFonts w:ascii="Arial" w:eastAsia="Arial" w:hAnsi="Arial"/>
          <w:b/>
          <w:sz w:val="24"/>
        </w:rPr>
      </w:pPr>
    </w:p>
    <w:p w:rsidR="002F503E" w:rsidRDefault="002F503E">
      <w:pPr>
        <w:numPr>
          <w:ilvl w:val="0"/>
          <w:numId w:val="29"/>
        </w:numPr>
        <w:tabs>
          <w:tab w:val="left" w:pos="2120"/>
        </w:tabs>
        <w:spacing w:line="0" w:lineRule="atLeast"/>
        <w:ind w:left="2120" w:hanging="708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- Checklist - SERVIZI ATTINENTI ALL’ARCHITETTURA E INGEGNERIA (art. 157)</w:t>
      </w:r>
    </w:p>
    <w:p w:rsidR="002F503E" w:rsidRDefault="002F503E">
      <w:pPr>
        <w:spacing w:line="60" w:lineRule="exact"/>
        <w:rPr>
          <w:rFonts w:ascii="Arial" w:eastAsia="Arial" w:hAnsi="Arial"/>
          <w:b/>
          <w:sz w:val="24"/>
        </w:rPr>
      </w:pPr>
    </w:p>
    <w:p w:rsidR="002F503E" w:rsidRDefault="002F503E">
      <w:pPr>
        <w:numPr>
          <w:ilvl w:val="0"/>
          <w:numId w:val="29"/>
        </w:numPr>
        <w:tabs>
          <w:tab w:val="left" w:pos="2120"/>
        </w:tabs>
        <w:spacing w:line="0" w:lineRule="atLeast"/>
        <w:ind w:left="2120" w:hanging="708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- Checklist - AFFIDAMENTI IN HOUSE (artt. 5 e 192)</w:t>
      </w:r>
    </w:p>
    <w:p w:rsidR="002F503E" w:rsidRDefault="002F503E">
      <w:pPr>
        <w:spacing w:line="60" w:lineRule="exact"/>
        <w:rPr>
          <w:rFonts w:ascii="Times New Roman" w:eastAsia="Times New Roman" w:hAnsi="Times New Roman"/>
        </w:rPr>
      </w:pPr>
    </w:p>
    <w:p w:rsidR="002F503E" w:rsidRDefault="002F503E">
      <w:pPr>
        <w:tabs>
          <w:tab w:val="left" w:pos="2100"/>
        </w:tabs>
        <w:spacing w:line="0" w:lineRule="atLeast"/>
        <w:ind w:left="142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0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24"/>
        </w:rPr>
        <w:t>- Checklist - ESECUZIONE DEL CONTRATTO</w:t>
      </w: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00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294" w:lineRule="exact"/>
        <w:rPr>
          <w:rFonts w:ascii="Times New Roman" w:eastAsia="Times New Roman" w:hAnsi="Times New Roman"/>
        </w:rPr>
      </w:pPr>
    </w:p>
    <w:p w:rsidR="002F503E" w:rsidRDefault="002F503E">
      <w:pPr>
        <w:spacing w:line="0" w:lineRule="atLeast"/>
        <w:ind w:right="938"/>
        <w:jc w:val="right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17</w:t>
      </w:r>
    </w:p>
    <w:sectPr w:rsidR="002F503E">
      <w:pgSz w:w="16840" w:h="11906" w:orient="landscape"/>
      <w:pgMar w:top="680" w:right="1440" w:bottom="675" w:left="1420" w:header="0" w:footer="0" w:gutter="0"/>
      <w:cols w:space="0" w:equalWidth="0">
        <w:col w:w="13978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7C31" w:rsidRDefault="00467C31" w:rsidP="00C72B78">
      <w:r>
        <w:separator/>
      </w:r>
    </w:p>
  </w:endnote>
  <w:endnote w:type="continuationSeparator" w:id="1">
    <w:p w:rsidR="00467C31" w:rsidRDefault="00467C31" w:rsidP="00C72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Lato Medium">
    <w:charset w:val="00"/>
    <w:family w:val="swiss"/>
    <w:pitch w:val="variable"/>
    <w:sig w:usb0="E10002FF" w:usb1="5000ECFF" w:usb2="00000021" w:usb3="00000000" w:csb0="0000019F" w:csb1="00000000"/>
  </w:font>
  <w:font w:name="Oswald Regular">
    <w:altName w:val="Arial Narrow"/>
    <w:panose1 w:val="00000500000000000000"/>
    <w:charset w:val="00"/>
    <w:family w:val="auto"/>
    <w:pitch w:val="variable"/>
    <w:sig w:usb0="A00002EF" w:usb1="4000204B" w:usb2="00000000" w:usb3="00000000" w:csb0="00000097" w:csb1="00000000"/>
    <w:embedRegular r:id="rId1" w:subsetted="1" w:fontKey="{2400E0F6-3B4A-4C7E-9591-75850FD22EA8}"/>
  </w:font>
  <w:font w:name="Lato Heavy">
    <w:charset w:val="00"/>
    <w:family w:val="swiss"/>
    <w:pitch w:val="variable"/>
    <w:sig w:usb0="E10002FF" w:usb1="5000ECFF" w:usb2="00000021" w:usb3="00000000" w:csb0="0000019F" w:csb1="00000000"/>
    <w:embedRegular r:id="rId2" w:subsetted="1" w:fontKey="{AD9FF335-15D4-42A5-81B1-B99DFF6053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7C31" w:rsidRDefault="00467C31" w:rsidP="00C72B78">
      <w:r>
        <w:separator/>
      </w:r>
    </w:p>
  </w:footnote>
  <w:footnote w:type="continuationSeparator" w:id="1">
    <w:p w:rsidR="00467C31" w:rsidRDefault="00467C31" w:rsidP="00C72B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BEFD79E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41A7C4C8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6B68079A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E6AFB66"/>
    <w:lvl w:ilvl="0">
      <w:start w:val="1"/>
      <w:numFmt w:val="bullet"/>
      <w:lvlText w:val=" "/>
      <w:lvlJc w:val="left"/>
    </w:lvl>
    <w:lvl w:ilvl="1">
      <w:start w:val="1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25E45D32"/>
    <w:lvl w:ilvl="0">
      <w:start w:val="1"/>
      <w:numFmt w:val="bullet"/>
      <w:lvlText w:val=" "/>
      <w:lvlJc w:val="left"/>
    </w:lvl>
    <w:lvl w:ilvl="1">
      <w:start w:val="4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19B500C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431BD7B6"/>
    <w:lvl w:ilvl="0">
      <w:start w:val="3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3F2DBA30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7C83E458"/>
    <w:lvl w:ilvl="0">
      <w:start w:val="1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257130A2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62BBD95A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436C6124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628C895C"/>
    <w:lvl w:ilvl="0">
      <w:start w:val="1"/>
      <w:numFmt w:val="bullet"/>
      <w:lvlText w:val=" "/>
      <w:lvlJc w:val="left"/>
    </w:lvl>
    <w:lvl w:ilvl="1">
      <w:start w:val="1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333AB104"/>
    <w:lvl w:ilvl="0">
      <w:start w:val="2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4">
    <w:nsid w:val="0000000F"/>
    <w:multiLevelType w:val="hybridMultilevel"/>
    <w:tmpl w:val="721DA316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5">
    <w:nsid w:val="00000010"/>
    <w:multiLevelType w:val="hybridMultilevel"/>
    <w:tmpl w:val="2443A858"/>
    <w:lvl w:ilvl="0">
      <w:start w:val="3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6">
    <w:nsid w:val="00000011"/>
    <w:multiLevelType w:val="hybridMultilevel"/>
    <w:tmpl w:val="2D1D5AE8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7">
    <w:nsid w:val="00000012"/>
    <w:multiLevelType w:val="hybridMultilevel"/>
    <w:tmpl w:val="6763845E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8">
    <w:nsid w:val="00000013"/>
    <w:multiLevelType w:val="hybridMultilevel"/>
    <w:tmpl w:val="75A2A8D4"/>
    <w:lvl w:ilvl="0">
      <w:start w:val="1"/>
      <w:numFmt w:val="bullet"/>
      <w:lvlText w:val=" "/>
      <w:lvlJc w:val="left"/>
    </w:lvl>
    <w:lvl w:ilvl="1">
      <w:start w:val="1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9">
    <w:nsid w:val="00000014"/>
    <w:multiLevelType w:val="hybridMultilevel"/>
    <w:tmpl w:val="08EDBDAA"/>
    <w:lvl w:ilvl="0">
      <w:start w:val="1"/>
      <w:numFmt w:val="bullet"/>
      <w:lvlText w:val=" "/>
      <w:lvlJc w:val="left"/>
    </w:lvl>
    <w:lvl w:ilvl="1">
      <w:start w:val="4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0">
    <w:nsid w:val="00000015"/>
    <w:multiLevelType w:val="hybridMultilevel"/>
    <w:tmpl w:val="79838CB2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1">
    <w:nsid w:val="00000016"/>
    <w:multiLevelType w:val="hybridMultilevel"/>
    <w:tmpl w:val="4353D0CC"/>
    <w:lvl w:ilvl="0">
      <w:start w:val="3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2">
    <w:nsid w:val="00000017"/>
    <w:multiLevelType w:val="hybridMultilevel"/>
    <w:tmpl w:val="0B03E0C6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3">
    <w:nsid w:val="00000018"/>
    <w:multiLevelType w:val="hybridMultilevel"/>
    <w:tmpl w:val="189A769A"/>
    <w:lvl w:ilvl="0">
      <w:start w:val="1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4">
    <w:nsid w:val="00000019"/>
    <w:multiLevelType w:val="hybridMultilevel"/>
    <w:tmpl w:val="54E49EB4"/>
    <w:lvl w:ilvl="0">
      <w:start w:val="1"/>
      <w:numFmt w:val="bullet"/>
      <w:lvlText w:val=" "/>
      <w:lvlJc w:val="left"/>
    </w:lvl>
    <w:lvl w:ilvl="1">
      <w:start w:val="1"/>
      <w:numFmt w:val="bullet"/>
      <w:lvlText w:val=" 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5">
    <w:nsid w:val="0000001A"/>
    <w:multiLevelType w:val="hybridMultilevel"/>
    <w:tmpl w:val="71F32454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6">
    <w:nsid w:val="0000001B"/>
    <w:multiLevelType w:val="hybridMultilevel"/>
    <w:tmpl w:val="2CA88610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7">
    <w:nsid w:val="0000001C"/>
    <w:multiLevelType w:val="hybridMultilevel"/>
    <w:tmpl w:val="0836C40E"/>
    <w:lvl w:ilvl="0">
      <w:start w:val="6"/>
      <w:numFmt w:val="upperLetter"/>
      <w:lvlText w:val="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8">
    <w:nsid w:val="0000001D"/>
    <w:multiLevelType w:val="hybridMultilevel"/>
    <w:tmpl w:val="02901D82"/>
    <w:lvl w:ilvl="0">
      <w:start w:val="12"/>
      <w:numFmt w:val="upperLetter"/>
      <w:lvlText w:val="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embedSystemFonts/>
  <w:saveSubsetFonts/>
  <w:proofState w:grammar="clean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243AD"/>
    <w:rsid w:val="00035DCB"/>
    <w:rsid w:val="002F503E"/>
    <w:rsid w:val="00467C31"/>
    <w:rsid w:val="004A7FF7"/>
    <w:rsid w:val="0052617D"/>
    <w:rsid w:val="007243AD"/>
    <w:rsid w:val="007C3BCC"/>
    <w:rsid w:val="008E470D"/>
    <w:rsid w:val="008F6C8C"/>
    <w:rsid w:val="0098672C"/>
    <w:rsid w:val="009E60DB"/>
    <w:rsid w:val="00B5726C"/>
    <w:rsid w:val="00C72B78"/>
    <w:rsid w:val="00CF21E0"/>
    <w:rsid w:val="00E50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F21E0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21E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52617D"/>
    <w:rPr>
      <w:color w:val="0000FF"/>
      <w:u w:val="single"/>
    </w:rPr>
  </w:style>
  <w:style w:type="paragraph" w:customStyle="1" w:styleId="TitoloGrandePaola">
    <w:name w:val="Titolo Grande Paola"/>
    <w:next w:val="Normale"/>
    <w:qFormat/>
    <w:rsid w:val="00CF21E0"/>
    <w:pPr>
      <w:spacing w:before="240" w:line="259" w:lineRule="auto"/>
    </w:pPr>
    <w:rPr>
      <w:rFonts w:ascii="Lato Light" w:eastAsia="Times New Roman" w:hAnsi="Lato Light" w:cs="Times New Roman"/>
      <w:color w:val="E9B30E"/>
      <w:sz w:val="76"/>
      <w:szCs w:val="32"/>
      <w:lang w:eastAsia="en-US"/>
    </w:rPr>
  </w:style>
  <w:style w:type="paragraph" w:customStyle="1" w:styleId="Titolo1GAL">
    <w:name w:val="Titolo 1 GAL"/>
    <w:basedOn w:val="Titolo1"/>
    <w:next w:val="Normale"/>
    <w:qFormat/>
    <w:rsid w:val="00CF21E0"/>
    <w:pPr>
      <w:keepLines/>
      <w:spacing w:before="480" w:after="100" w:line="259" w:lineRule="auto"/>
    </w:pPr>
    <w:rPr>
      <w:rFonts w:ascii="Lato Medium" w:hAnsi="Lato Medium"/>
      <w:b w:val="0"/>
      <w:bCs w:val="0"/>
      <w:color w:val="B75C9E"/>
      <w:kern w:val="0"/>
      <w:sz w:val="48"/>
      <w:lang w:eastAsia="en-US"/>
    </w:rPr>
  </w:style>
  <w:style w:type="character" w:customStyle="1" w:styleId="GrassettoGAL">
    <w:name w:val="Grassetto GAL"/>
    <w:uiPriority w:val="1"/>
    <w:qFormat/>
    <w:rsid w:val="00CF21E0"/>
    <w:rPr>
      <w:rFonts w:ascii="Lato Medium" w:hAnsi="Lato Medium"/>
      <w:b w:val="0"/>
      <w:color w:val="B75C9E"/>
    </w:rPr>
  </w:style>
  <w:style w:type="paragraph" w:customStyle="1" w:styleId="Titolo2GAL">
    <w:name w:val="Titolo 2 GAL"/>
    <w:basedOn w:val="Titolo2"/>
    <w:next w:val="Normale"/>
    <w:qFormat/>
    <w:rsid w:val="00CF21E0"/>
    <w:pPr>
      <w:keepLines/>
      <w:spacing w:before="360" w:after="0" w:line="259" w:lineRule="auto"/>
    </w:pPr>
    <w:rPr>
      <w:rFonts w:ascii="Lato Light" w:hAnsi="Lato Light"/>
      <w:b w:val="0"/>
      <w:bCs w:val="0"/>
      <w:i w:val="0"/>
      <w:iCs w:val="0"/>
      <w:color w:val="B75C9E"/>
      <w:sz w:val="42"/>
      <w:szCs w:val="36"/>
      <w:lang w:eastAsia="en-US"/>
    </w:rPr>
  </w:style>
  <w:style w:type="character" w:customStyle="1" w:styleId="Titolo1Carattere">
    <w:name w:val="Titolo 1 Carattere"/>
    <w:link w:val="Titolo1"/>
    <w:uiPriority w:val="9"/>
    <w:rsid w:val="00CF21E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CF21E0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C72B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2B78"/>
  </w:style>
  <w:style w:type="paragraph" w:styleId="Pidipagina">
    <w:name w:val="footer"/>
    <w:basedOn w:val="Normale"/>
    <w:link w:val="PidipaginaCarattere"/>
    <w:uiPriority w:val="99"/>
    <w:unhideWhenUsed/>
    <w:rsid w:val="00C72B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2B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4602</Words>
  <Characters>26233</Characters>
  <Application>Microsoft Office Word</Application>
  <DocSecurity>0</DocSecurity>
  <Lines>218</Lines>
  <Paragraphs>61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MISURA 19 Sostegno allo sviluppo locale LEADER-CLLD</vt:lpstr>
      <vt:lpstr>    CHECK LIST AGEA DOMANDA DI SOSTEGNO</vt:lpstr>
    </vt:vector>
  </TitlesOfParts>
  <Company/>
  <LinksUpToDate>false</LinksUpToDate>
  <CharactersWithSpaces>30774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 Sulis</dc:creator>
  <cp:lastModifiedBy>Marianna</cp:lastModifiedBy>
  <cp:revision>2</cp:revision>
  <dcterms:created xsi:type="dcterms:W3CDTF">2020-03-24T15:22:00Z</dcterms:created>
  <dcterms:modified xsi:type="dcterms:W3CDTF">2020-03-24T15:22:00Z</dcterms:modified>
</cp:coreProperties>
</file>